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00C33" w14:textId="77777777" w:rsidR="00E15030" w:rsidRDefault="00E15030" w:rsidP="009928D8">
      <w:r>
        <w:t>Read the attached document in its entirety.</w:t>
      </w:r>
    </w:p>
    <w:p w14:paraId="6660D891" w14:textId="77777777" w:rsidR="0001388C" w:rsidRDefault="00596AAA" w:rsidP="009928D8">
      <w:r>
        <w:t xml:space="preserve">Choose context injection strategy: 'inject-full-content'. </w:t>
      </w:r>
    </w:p>
    <w:p w14:paraId="2C611CED" w14:textId="77777777" w:rsidR="00596AAA" w:rsidRDefault="00596AAA" w:rsidP="009928D8">
      <w:r>
        <w:t>**Performance Note (LLM Efficiency):** Read the University License once. The first time you rely on a clause, note its clause/section number; if it becomes relevant again later, refer back to it by that number (e.g. "see clause 4.2 above") instead of re-quoting or re-summarising it. Keep commentary brief — 1–2 sentences of analysis per item is enough; put substantive detail into the required tables rather than free-form prose. Produce all section outputs in a single structured response; do not ask clarifying questions or produce interim summaries mid-analysis. Do the scoring table, Sub-License Return, and Cash Impact calculations last.</w:t>
      </w:r>
    </w:p>
    <w:p w14:paraId="249F794E" w14:textId="77777777" w:rsidR="00C3417B" w:rsidRDefault="00B64D04">
      <w:r>
        <w:t>For every numeric table you produce, treat each cell as a formula to show your working for, not a figure to assert: state the rate and the base multiplied, show the multiplication, and only then state the result. Before presenting any table, re-add the column/row you have just built and confirm the stated "Total" and any headline comparison figure (e.g. a cumulative difference) actually equal the sum of the individual cells shown — if they do not reconcile, fix the table before output rather than presenting</w:t>
      </w:r>
      <w:r>
        <w:t xml:space="preserve"> the mismatch. Where a University License fee schedule is expressed as fixed calendar years (e.g. "the Anniversary in 2021") rather than as years relative to signing, flag this explicitly as an assumption when mapping it onto a hypothetical Year 1–5 scenario, since the real deferral period this implies may differ from a simple Year 1, 2, 3… relabelling.</w:t>
      </w:r>
    </w:p>
    <w:p w14:paraId="14FD6A93" w14:textId="77777777" w:rsidR="009928D8" w:rsidRPr="009928D8" w:rsidRDefault="009928D8" w:rsidP="009928D8">
      <w:r>
        <w:rPr>
          <w:b/>
          <w:bCs/>
        </w:rPr>
        <w:t>Role:</w:t>
      </w:r>
      <w:r>
        <w:t xml:space="preserve"> You are a legal expert specializing in UK university technology transfer. Your goal is to compare the attached file (University License) against the "SCALE Deeptech Licence (SDL)" benchmarks.</w:t>
      </w:r>
    </w:p>
    <w:p w14:paraId="58EE3695" w14:textId="77777777" w:rsidR="009928D8" w:rsidRPr="009928D8" w:rsidRDefault="009928D8" w:rsidP="009928D8">
      <w:r>
        <w:rPr>
          <w:b/>
          <w:bCs/>
        </w:rPr>
        <w:t>Objective:</w:t>
      </w:r>
      <w:r>
        <w:t xml:space="preserve"> Identify deviations from the SDL standard, highlighting terms that create "commercial friction" for founders and investors. Provide specific legal language from the SDL and the associated justifications to support negotiations with lawyers at the University Tech Transfer Office (TTO). Use the Deal Dial Negotiation suggestions to come up with counter proposals.</w:t>
      </w:r>
    </w:p>
    <w:p w14:paraId="45B0E046" w14:textId="77777777" w:rsidR="009928D8" w:rsidRPr="009928D8" w:rsidRDefault="009928D8" w:rsidP="009928D8">
      <w:pPr>
        <w:rPr>
          <w:b/>
          <w:bCs/>
        </w:rPr>
      </w:pPr>
      <w:r>
        <w:rPr>
          <w:b/>
          <w:bCs/>
        </w:rPr>
        <w:t>1. Equity Ownership</w:t>
      </w:r>
    </w:p>
    <w:p w14:paraId="2D98B7B8" w14:textId="77777777" w:rsidR="009928D8" w:rsidRPr="009928D8" w:rsidRDefault="00597309" w:rsidP="009928D8">
      <w:pPr>
        <w:numPr>
          <w:ilvl w:val="0"/>
          <w:numId w:val="1"/>
        </w:numPr>
      </w:pPr>
      <w:r>
        <w:rPr>
          <w:b/>
          <w:bCs/>
        </w:rPr>
        <w:t>SDL Benchmark:</w:t>
      </w:r>
      <w:r>
        <w:t xml:space="preserve"> University equity should be no more than </w:t>
      </w:r>
      <w:r>
        <w:rPr>
          <w:b/>
          <w:bCs/>
        </w:rPr>
        <w:t>5</w:t>
      </w:r>
      <w:r>
        <w:t xml:space="preserve">% in issued share capital or aggregate nominal value as ordinary shares under </w:t>
      </w:r>
      <w:r>
        <w:rPr>
          <w:b/>
          <w:bCs/>
        </w:rPr>
        <w:t>Option A (5% Non-Dilutable)</w:t>
      </w:r>
      <w:r>
        <w:t xml:space="preserve">, or up to </w:t>
      </w:r>
      <w:r>
        <w:rPr>
          <w:b/>
          <w:bCs/>
        </w:rPr>
        <w:t>10</w:t>
      </w:r>
      <w:r>
        <w:t xml:space="preserve">% in issued share capital or aggregate nominal value as ordinary shares under </w:t>
      </w:r>
      <w:r>
        <w:rPr>
          <w:b/>
          <w:bCs/>
        </w:rPr>
        <w:t>Option B (10% Dilutable)</w:t>
      </w:r>
      <w:r>
        <w:t>. The parties shall elect one option at the time of signing and record that election in this Agreement. The two options are as follows:</w:t>
      </w:r>
    </w:p>
    <w:p w14:paraId="56CCE2F6" w14:textId="77777777" w:rsidR="009928D8" w:rsidRDefault="009928D8" w:rsidP="009928D8">
      <w:pPr>
        <w:numPr>
          <w:ilvl w:val="1"/>
          <w:numId w:val="1"/>
        </w:numPr>
      </w:pPr>
      <w:r>
        <w:rPr>
          <w:b/>
          <w:bCs/>
        </w:rPr>
        <w:t xml:space="preserve">Option A – 5% Non-Dilutable: </w:t>
      </w:r>
      <w:r>
        <w:t>University equity of up to 5% of the fully diluted share capital, held as ordinary shares, which are non-dilutable (the Company issuing top-up shares for nominal consideration to maintain the University at 5% fully diluted) until the earlier of (i) the Company having passed the “Dilution Protection Threshold” (cumulative gross equity funding of £5,000,000 through third-party investments), or (ii) an Exit Event (together, the end of the “Protection Period”). Once the Protection Period ends, the University equity dilutes on the same basis as all ordinary shareholders. 5% non-dilutable is the ceiling under this Option, not a target; any percentage below 5%, including 0%, is fully aligned and should be treated as a positive feature of the University License.</w:t>
      </w:r>
    </w:p>
    <w:p w14:paraId="0D2BDE66" w14:textId="77777777" w:rsidR="009928D8" w:rsidRDefault="009928D8" w:rsidP="009928D8">
      <w:pPr>
        <w:numPr>
          <w:ilvl w:val="1"/>
          <w:numId w:val="1"/>
        </w:numPr>
      </w:pPr>
      <w:r>
        <w:rPr>
          <w:b/>
          <w:bCs/>
        </w:rPr>
        <w:lastRenderedPageBreak/>
        <w:t xml:space="preserve">Option B – 10% Dilutable: </w:t>
      </w:r>
      <w:r>
        <w:t>University equity of up to 10% of the fully diluted share capital, held as ordinary shares, which are dilutable from the date of issue on the same basis as all ordinary shareholders (i.e. no anti-dilution protection). 10% dilutable is the ceiling under this Option; any percentage below 10%, including 0%, is more favourable to founders and investors. This option replicates Imperial College London’s published standard and is consistent with the USIT benchmarks and the direction of travel at other leading UK research universities. The higher percentage ceiling relative to Option A reflects the absence of anti-dilution protection: investors should note that the effective economic position at exit will depend on intervening dilution from funding rounds.</w:t>
      </w:r>
    </w:p>
    <w:p w14:paraId="66FF992A" w14:textId="77777777" w:rsidR="009928D8" w:rsidRPr="009928D8" w:rsidRDefault="009928D8" w:rsidP="009928D8">
      <w:pPr>
        <w:numPr>
          <w:ilvl w:val="0"/>
          <w:numId w:val="1"/>
        </w:numPr>
      </w:pPr>
      <w:r>
        <w:rPr>
          <w:b/>
          <w:bCs/>
        </w:rPr>
        <w:t>Target Language for Analysis:</w:t>
      </w:r>
      <w:r>
        <w:t xml:space="preserve"> Flag the equity term as a deviation only if one or more of the following is true: (a) under Option A, the equity percentage exceeds 5%, or under Option B, the equity percentage exceeds 10%; (b) under Option A, the University equity is dilutable from day one; (b’) under Option B, the University equity carries any anti-dilution protection or ratchet mechanism (Option B must be fully dilutable from day one with no anti-dilution of any kind—if a university proposes 10% with any protection, this is a material deviation requiring either reduction to 5% non-dilutable Option A terms or removal of the protection); (c) under Option A, the non-dilution threshold is lower than £5,000,000; (d) the University holds preference shares or any class with special rights rather than ordinary shares (applies to both Options); or (e) the Company must seek University consent before creating new share classes or option pools (applies to both Options). On criterion (d): do not treat seniority-ranking labels — e.g. a statement that the University's shares "will consist of the most senior class of shares in existence at the time that they are issued" or similar wording — as itself satisfying criterion (d). This is standard anti-embarrassment drafting: it means the University's shares automatically rank alongside whatever is the most senior class of shares at the time of issue, so that if the Company later creates a more senior class the University is not left behind — it does not mean the University's shares are, or will be, senior to the Company's ordinary shares. Where no class more senior than ordinary shares exists at the relevant time (e.g. pre-investment, before any preference shares have been issued to third parties), this language describes ordinary shares, not a preference class. Only flag criterion (d) as met where the University's shares are shown to carry actual preferential rights relative to ordinary shares (for example, a dividend preference, a liquidation preference, or enhanced/weighted voting rights) — assess the substantive rights actually attached to the shares as set out elsewhere in the document, not the seniority-ranking label used to describe how the shares are issued. Where none of (a)–(e) is present for the elected Option, score 5/5 on Equity Fairness.</w:t>
      </w:r>
      <w:r>
        <w:t xml:space="preserve"> This 5/5 score must be reported consistently wherever a friction rating or friction-level commentary is given for this section elsewhere in the analysis: state the friction rating as "Low" (or "Aligned"), not "Medium" or "High". Where the University License is silent as to equity altogether (no equity clause of any kind), this is not a fourth, undefined case to be scored separately — treat it as equivalent to a stated 0% under whichever Option best fits the University's practice, score 5/5, and do not elevate the friction rating on the basis that the absence of a defined mechanism creates uncertainty or the possibility of a future, unstated demand. A term already scored at the top of its band cannot simultaneously be reported as Medium or High friction on the strength of a hypothetical risk that is not itself evidenced in the </w:t>
      </w:r>
      <w:r>
        <w:lastRenderedPageBreak/>
        <w:t>document.</w:t>
      </w:r>
      <w:r>
        <w:t xml:space="preserve"> Where Option B is elected and criterion (b) or (c) is technically met (because there is no anti-dilution protection), this should not be treated as a deviation provided the percentage does not exceed 10% and the shares are ordinary shares ranking pari passu. Do not assume or invent a specific dilution trigger, non-dilution mechanism, or timing (e.g. that the University’s equity dilutes only upon a Series A or Series B investment, or upon any other named financing event) unless the clause defining the University’s equity allocation itself states that mechanism. Series A/B (or similarly labelled) defined terms may appear elsewhere in the University License for unrelated purposes (e.g. as a trigger for a milestone payment under the Fees section) — their presence elsewhere in the document is not evidence of how, or whether, the University’s equity dilutes, and must not be cross-applied to the equity clause. If the equity clause is silent as to whether, when, or on what basis the University’s shareholding dilutes (i.e. it states only the initial percentage and says nothing about a Protection Period, Dilution Protection Threshold, or equivalent non-dilution mechanism), treat this silence itself as a flag under criteria (b)/(b’) above, state that assumption explicitly, and do not substitute an invented trigger drawn from another part of the document. Specifically check every comment thread anchored to the clause(s) defining the University’s equity allocation (whatever the defined term is named in this particular University License — e.g. Share Allocation, Founder Shares, University Shares, Initial Equity, or similar) and any associated defined terms or schedules: where a comment proposes a non-dilution or anti-dilution protection mechanism, ratchet, or any equivalent dilution protection for either Option, this is a live proposal that must be assessed against criterion (b’) above and reported as a material deviation, even if no such protection appears anywhere in the clause text itself.</w:t>
      </w:r>
    </w:p>
    <w:p w14:paraId="76A3BD3E" w14:textId="77777777" w:rsidR="009928D8" w:rsidRPr="009928D8" w:rsidRDefault="009928D8" w:rsidP="009928D8">
      <w:pPr>
        <w:numPr>
          <w:ilvl w:val="0"/>
          <w:numId w:val="1"/>
        </w:numPr>
      </w:pPr>
      <w:r>
        <w:rPr>
          <w:b/>
          <w:bCs/>
        </w:rPr>
        <w:t>Justification:</w:t>
      </w:r>
      <w:r>
        <w:t xml:space="preserve"> "Many VCs view University equity as 'inert' on a Cap Table. High equity (above 10%) makes fundraising harder because investors prefer equity to sit with active founders and employees who will drive growth, especially for Deeptech companies". The corollary is that lower University equity is unambiguously better for founders and investors: a 0% stake is the cleanest possible cap table outcome, and the SDL’s 10% dilutable or 5% initially undilutable figures are the maximum acceptable position the University is expected to take, not a recommended minimum or a floor. The 2026 Hickson Review (“Deepening University-Investor Links”, commissioned by UKRI/Research England) confirmed that average university equity stakes have fallen from approximately 25% to around 16% over the past decade, and recommended that outlier universities still demanding very high equity stakes should align with sector norms. The Review also noted that University Spin-Out Investment Terms (USIT) guides have helped standardise expectations and that UKRI should require universities to publicly disclose their equity policies and indicate alignment with recognised benchmarks such as USIT. Both Option A (5% non-dilutable to £5m raised) and Option B (10% dilutable) replicate the Imperial College London preferred standard and are consistent with the UK-wide convergence now emerging. Option A is preferable where investors are sensitive to anti-dilution provisions and prefer a predictable cap table trajectory; the lower ceiling and time-limited anti-dilution protection combine to make University equity easier to explain at the term sheet stage. Option B is preferable where the parties are comfortable with a fully dilutable ordinary share position; the higher ceiling (up to 10%) reflects and compensates for the absence of any anti-dilution </w:t>
      </w:r>
      <w:r>
        <w:lastRenderedPageBreak/>
        <w:t>protection. Both options are fully consistent with the SDL framework and with the Hickson Review’s recommendations on founder-aligned equity structures.</w:t>
      </w:r>
    </w:p>
    <w:p w14:paraId="029FDD54" w14:textId="77777777" w:rsidR="009928D8" w:rsidRPr="009928D8" w:rsidRDefault="009928D8" w:rsidP="009928D8">
      <w:pPr>
        <w:numPr>
          <w:ilvl w:val="0"/>
          <w:numId w:val="1"/>
        </w:numPr>
      </w:pPr>
      <w:r>
        <w:rPr>
          <w:b/>
          <w:bCs/>
        </w:rPr>
        <w:t xml:space="preserve">Deal Dial Negotiation: </w:t>
      </w:r>
      <w:r>
        <w:t>Before pushing on the percentage alone, establish what the TTO's priorities actually are - an office under pressure to demonstrate near-term returns will weigh equity differently from one focused on long-term value creation (for instance, if it has just seen a liquidity event), and one that has spent heavily on patent prosecution will be more attached to recovering those costs than to the equity structure. The SDL benchmarks (5% non-dilutable or 10% dilutable) already sit at the low end of the broader UK market range of roughly 5-15% equity at incorporation, so use that wider range - not just the Imperial comparator - to show the ask is reasonable rather than an outlier.</w:t>
      </w:r>
    </w:p>
    <w:p w14:paraId="49FA7EE9" w14:textId="77777777" w:rsidR="009928D8" w:rsidRPr="009928D8" w:rsidRDefault="009928D8" w:rsidP="009928D8">
      <w:pPr>
        <w:rPr>
          <w:b/>
          <w:bCs/>
        </w:rPr>
      </w:pPr>
      <w:r>
        <w:rPr>
          <w:b/>
          <w:bCs/>
        </w:rPr>
        <w:t>2. Fees (License &amp; Patent Costs)</w:t>
      </w:r>
    </w:p>
    <w:p w14:paraId="29E38E9C" w14:textId="77777777" w:rsidR="009928D8" w:rsidRPr="009928D8" w:rsidRDefault="00597309" w:rsidP="009928D8">
      <w:pPr>
        <w:numPr>
          <w:ilvl w:val="0"/>
          <w:numId w:val="2"/>
        </w:numPr>
      </w:pPr>
      <w:r>
        <w:rPr>
          <w:b/>
          <w:bCs/>
        </w:rPr>
        <w:t>SDL Benchmark:</w:t>
      </w:r>
      <w:r>
        <w:t xml:space="preserve"> * </w:t>
      </w:r>
      <w:r>
        <w:rPr>
          <w:b/>
          <w:bCs/>
        </w:rPr>
        <w:t>Annual License Fee:</w:t>
      </w:r>
      <w:r>
        <w:t xml:space="preserve"> £50,000 total, split into five annual installments.</w:t>
      </w:r>
    </w:p>
    <w:p w14:paraId="19E2B89D" w14:textId="77777777" w:rsidR="009928D8" w:rsidRPr="009928D8" w:rsidRDefault="009928D8" w:rsidP="009928D8">
      <w:pPr>
        <w:numPr>
          <w:ilvl w:val="1"/>
          <w:numId w:val="2"/>
        </w:numPr>
      </w:pPr>
      <w:r>
        <w:rPr>
          <w:b/>
          <w:bCs/>
        </w:rPr>
        <w:t>Payment Trigger:</w:t>
      </w:r>
      <w:r>
        <w:t xml:space="preserve"> Fees are only payable after a </w:t>
      </w:r>
      <w:r>
        <w:rPr>
          <w:b/>
          <w:bCs/>
        </w:rPr>
        <w:t>"Qualified Financing"</w:t>
      </w:r>
      <w:r>
        <w:t xml:space="preserve"> (minimum £500,000 raise), save that if no Qualified Financing has occurred by the third (3rd) anniversary of the Commencement Date, the first instalment falls due within 30 days of that anniversary regardless (a longstop trigger)..</w:t>
      </w:r>
    </w:p>
    <w:p w14:paraId="29D10C85" w14:textId="77777777" w:rsidR="009928D8" w:rsidRPr="009928D8" w:rsidRDefault="009928D8" w:rsidP="009928D8">
      <w:pPr>
        <w:numPr>
          <w:ilvl w:val="1"/>
          <w:numId w:val="2"/>
        </w:numPr>
      </w:pPr>
      <w:r>
        <w:rPr>
          <w:b/>
          <w:bCs/>
        </w:rPr>
        <w:t>Historic Patent Costs:</w:t>
      </w:r>
      <w:r>
        <w:t xml:space="preserve"> Reimbursed only after a Qualified Financing, subject to the same third-anniversary longstop as the Annual Licence Fee.</w:t>
      </w:r>
    </w:p>
    <w:p w14:paraId="53DA079B" w14:textId="77777777" w:rsidR="009928D8" w:rsidRPr="009928D8" w:rsidRDefault="009928D8" w:rsidP="009928D8">
      <w:pPr>
        <w:numPr>
          <w:ilvl w:val="0"/>
          <w:numId w:val="2"/>
        </w:numPr>
      </w:pPr>
      <w:r>
        <w:rPr>
          <w:b/>
          <w:bCs/>
        </w:rPr>
        <w:t>Target Language for Analysis:</w:t>
      </w:r>
      <w:r>
        <w:t xml:space="preserve"> Look for "Upfront Fees," "Minimum Annual Royalties," or "Milestone Payments" that require cash before the company is funded. Summarise all the fees over time assuming they all trigger and compare them to the SDL Benchmark of £50,000. Specifically check every comment thread anchored to the Historic Patent Costs definition and to the operative clause requiring payment of Historic Patent Costs — these may be different anchors with different comment threads, and the document may use a different defined term for the triggering event (e.g. Pre-Seed Investment, Seed Investment, first external equity financing) and for the reference date (e.g. Commencement Date, Effective Date, Signature Date). If any comment proposes deferring payment until completion of a future financing round or other Qualified-Financing-equivalent event, rather than within a fixed period of the agreement’s start date, treat the most recently-dated such comment as the live position and use it (not the undated default in the clause text) for the Cash Impact calculation and friction scoring, explicitly noting the discrepancy between the live position and the drafted clause text.</w:t>
      </w:r>
    </w:p>
    <w:p w14:paraId="6E62B579" w14:textId="77777777" w:rsidR="009928D8" w:rsidRPr="009928D8" w:rsidRDefault="009928D8" w:rsidP="009928D8">
      <w:pPr>
        <w:numPr>
          <w:ilvl w:val="0"/>
          <w:numId w:val="2"/>
        </w:numPr>
      </w:pPr>
      <w:r>
        <w:rPr>
          <w:b/>
          <w:bCs/>
        </w:rPr>
        <w:t>Justification:</w:t>
      </w:r>
      <w:r>
        <w:t xml:space="preserve"> "Early-stage spinouts are cash-poor. Extracting cash through fixed fees before a funding round penalizes technical risk and takes 'vital funding fuel' away from the company during its most vulnerable phase".</w:t>
      </w:r>
    </w:p>
    <w:p w14:paraId="5BD8DFF0" w14:textId="77777777" w:rsidR="009928D8" w:rsidRPr="009928D8" w:rsidRDefault="009928D8" w:rsidP="009928D8">
      <w:pPr>
        <w:numPr>
          <w:ilvl w:val="0"/>
          <w:numId w:val="2"/>
        </w:numPr>
      </w:pPr>
      <w:r>
        <w:rPr>
          <w:b/>
          <w:bCs/>
        </w:rPr>
        <w:t xml:space="preserve">Deal Dial Negotiation: </w:t>
      </w:r>
      <w:r>
        <w:t xml:space="preserve">The observed UK market range for Annual Licence Fees is roughly £10,000-£100,000, so the SDL's £50,000 sits mid-range. Frame any ask as a timing concession (deferral to Qualified Financing) rather than a request to pay less overall, which is easier for a TTO to justify internally than a reduction in quantum. Ask what the University has already spent on patent prosecution: a TTO with significant sunk Historic Patent Costs will be more attached to recovering them than to the structure of </w:t>
      </w:r>
      <w:r>
        <w:lastRenderedPageBreak/>
        <w:t>the Annual Licence Fee, so there is often more room to defer or waive the Annual Licence Fee in exchange for consolidating Historic Patent Costs into a single lump sum on first investment, which also reduces the TTO's own collection risk.</w:t>
      </w:r>
    </w:p>
    <w:p w14:paraId="2A13D321" w14:textId="77777777" w:rsidR="009928D8" w:rsidRPr="009928D8" w:rsidRDefault="009928D8" w:rsidP="009928D8">
      <w:pPr>
        <w:rPr>
          <w:b/>
          <w:bCs/>
        </w:rPr>
      </w:pPr>
      <w:r>
        <w:rPr>
          <w:b/>
          <w:bCs/>
        </w:rPr>
        <w:t>3. Royalties</w:t>
      </w:r>
    </w:p>
    <w:p w14:paraId="559763C4" w14:textId="77777777" w:rsidR="009928D8" w:rsidRPr="009928D8" w:rsidRDefault="00597309" w:rsidP="009928D8">
      <w:pPr>
        <w:numPr>
          <w:ilvl w:val="0"/>
          <w:numId w:val="3"/>
        </w:numPr>
      </w:pPr>
      <w:r>
        <w:rPr>
          <w:b/>
          <w:bCs/>
        </w:rPr>
        <w:t>SDL Benchmark:</w:t>
      </w:r>
      <w:r>
        <w:t xml:space="preserve"> * </w:t>
      </w:r>
      <w:r>
        <w:rPr>
          <w:b/>
          <w:bCs/>
        </w:rPr>
        <w:t>Rate:</w:t>
      </w:r>
      <w:r>
        <w:t xml:space="preserve"> 1%.</w:t>
      </w:r>
    </w:p>
    <w:p w14:paraId="2BDB3AAF" w14:textId="77777777" w:rsidR="009928D8" w:rsidRPr="009928D8" w:rsidRDefault="009928D8" w:rsidP="009928D8">
      <w:pPr>
        <w:numPr>
          <w:ilvl w:val="1"/>
          <w:numId w:val="3"/>
        </w:numPr>
      </w:pPr>
      <w:r>
        <w:rPr>
          <w:b/>
          <w:bCs/>
        </w:rPr>
        <w:t>Scaling Threshold:</w:t>
      </w:r>
      <w:r>
        <w:t xml:space="preserve"> Payments only begin after </w:t>
      </w:r>
      <w:r>
        <w:rPr>
          <w:b/>
          <w:bCs/>
        </w:rPr>
        <w:t>£10,000,000</w:t>
      </w:r>
      <w:r>
        <w:t xml:space="preserve"> in cumulative Net Sales.</w:t>
      </w:r>
    </w:p>
    <w:p w14:paraId="1467154F" w14:textId="77777777" w:rsidR="009928D8" w:rsidRPr="009928D8" w:rsidRDefault="009928D8" w:rsidP="009928D8">
      <w:pPr>
        <w:numPr>
          <w:ilvl w:val="1"/>
          <w:numId w:val="3"/>
        </w:numPr>
      </w:pPr>
      <w:r>
        <w:rPr>
          <w:b/>
          <w:bCs/>
        </w:rPr>
        <w:t>Payment Cap:</w:t>
      </w:r>
      <w:r>
        <w:t xml:space="preserve"> Royalties automatically terminate once total payments reach </w:t>
      </w:r>
      <w:r>
        <w:rPr>
          <w:b/>
          <w:bCs/>
        </w:rPr>
        <w:t>£10,000,000</w:t>
      </w:r>
      <w:r>
        <w:t xml:space="preserve">. This is a single aggregate cap ("Royalty Payment Cap") measured across </w:t>
      </w:r>
      <w:r>
        <w:rPr>
          <w:i/>
          <w:iCs/>
        </w:rPr>
        <w:t>both</w:t>
      </w:r>
      <w:r>
        <w:t xml:space="preserve"> the Net Sales royalty (under the Agreed Royalty Percentage) </w:t>
      </w:r>
      <w:r>
        <w:rPr>
          <w:i/>
          <w:iCs/>
        </w:rPr>
        <w:t>and</w:t>
      </w:r>
      <w:r>
        <w:t xml:space="preserve"> the Net Receipts Royalty on sub-licensing combined, not the Net Sales royalty alone.</w:t>
      </w:r>
    </w:p>
    <w:p w14:paraId="51A920FC" w14:textId="77777777" w:rsidR="009928D8" w:rsidRPr="009928D8" w:rsidRDefault="009928D8" w:rsidP="009928D8">
      <w:pPr>
        <w:numPr>
          <w:ilvl w:val="1"/>
          <w:numId w:val="3"/>
        </w:numPr>
      </w:pPr>
      <w:r>
        <w:rPr>
          <w:b/>
          <w:bCs/>
        </w:rPr>
        <w:t>Buyout:</w:t>
      </w:r>
      <w:r>
        <w:t xml:space="preserve"> The SCALE Framework provides a structured Royalty Buyout mechanism: the Company may at any time request a buyout negotiation if it can demonstrate that eliminating the royalty obligation would materially improve its commercial prospects (e.g., in an M&amp;A or fundraising process). The University is obligated to negotiate in good faith but is not obligated to agree. There is no fixed fee specified in the SDL; the buyout quantum is a matter for negotiation. Acquirers will prefer a clean revenue position and don’t want to have to track and pay royalties, which makes this mechanism a valuable M&amp;A tool.</w:t>
      </w:r>
    </w:p>
    <w:p w14:paraId="6063409B" w14:textId="77777777" w:rsidR="009928D8" w:rsidRPr="009928D8" w:rsidRDefault="009928D8" w:rsidP="009928D8">
      <w:pPr>
        <w:numPr>
          <w:ilvl w:val="1"/>
          <w:numId w:val="3"/>
        </w:numPr>
      </w:pPr>
      <w:r>
        <w:rPr>
          <w:b/>
          <w:bCs/>
        </w:rPr>
        <w:t>Net Receipts Royalty on Sub-Licensing:</w:t>
      </w:r>
      <w:r>
        <w:t xml:space="preserve"> A separate royalty applies to Net Receipts (i.e. licence fees and royalties actually received by the Company from sub-licensees). The rate starts at 10% in the first year (the SDL schedule uses “fewer than 1 complete year elapsed” = 10%) and steps down by 1 percentage point per year to 1% from year 9 onwards, on a schedule to be set out in the SDL (i.e. an approximate 1 percentage point per year reduction). This obligation arises from the first pound of Net Receipts and is not subject to the £10,000,000 Net Sales Scaling Threshold that applies to the Company’s own Net Sales royalty.</w:t>
      </w:r>
    </w:p>
    <w:p w14:paraId="5AB26B13" w14:textId="77777777" w:rsidR="009928D8" w:rsidRPr="009928D8" w:rsidRDefault="009928D8" w:rsidP="009928D8">
      <w:pPr>
        <w:numPr>
          <w:ilvl w:val="0"/>
          <w:numId w:val="3"/>
        </w:numPr>
      </w:pPr>
      <w:r>
        <w:rPr>
          <w:b/>
          <w:bCs/>
        </w:rPr>
        <w:t>Target Language for Analysis:</w:t>
      </w:r>
      <w:r>
        <w:t xml:space="preserve"> Look for royalty rates above 1%, lack of a high sales threshold, the absence of a total payment cap, or a lack of a buyout option. Also check: (a) whether the Net Receipts Royalty rate or step-down schedule deviates from the SDL Benchmark above (e.g., a flat rate, a slower step-down, or no step-down); (b) whether the royalty cap of £10,000,000 is correctly defined as a cumulative royalty payments ceiling covering the Net Sales royalty and the Net Receipts Royalty on sub-licensing combined (not a Net Sales threshold, and not a Net Sales-only cap)—note the £10M cap is reached when total royalty payments across both streams hit £10M, which at a 1% Net Sales rate alone would imply ~£1B in Net Sales, but any Net Receipts Royalty paid on sub-licensing income counts toward the same £10M ceiling and can bring it forward materially; and (c) whether any flat, uncapped Net Receipts royalty is charged at above 10% with no step-down mechanism. and (d) for every royalty-bearing clause identified (whether it applies to the Licensee's own sales, a Sub-Licensee's sales, or both), state explicitly and separately in the High Friction analysis — not only inside the Sub-License Return calculation — which of the following bases the clause actually uses, quoting the </w:t>
      </w:r>
      <w:r>
        <w:lastRenderedPageBreak/>
        <w:t>operative words: (i) Net Sales Value of the Licensed Product actually sold by the Licensee and/or Sub-Licensee, or (ii) Net Receipts/income actually received by the Company. University Licences commonly charge the running royalty on a Sub-Licensee's own product sales rather than on the fee/royalty income the Company receives from that Sub-Licensee, which is a materially different — and typically larger — base than a Net Receipts structure, and this distinction must be called out as its own line item wherever it arises, not left implicit or assumed to match the SDL's Net Receipts structure.</w:t>
      </w:r>
    </w:p>
    <w:p w14:paraId="09C29FE8" w14:textId="77777777" w:rsidR="009928D8" w:rsidRDefault="009928D8" w:rsidP="009928D8">
      <w:pPr>
        <w:numPr>
          <w:ilvl w:val="0"/>
          <w:numId w:val="3"/>
        </w:numPr>
      </w:pPr>
      <w:r>
        <w:rPr>
          <w:b/>
          <w:bCs/>
        </w:rPr>
        <w:t>Justification:</w:t>
      </w:r>
      <w:r>
        <w:t xml:space="preserve"> "High royalties depress company margins and reduce investor returns. Because technology leaving a university requires years of high-risk development, aggressive royalties misprice that risk and can 'quietly close doors' to investors. The 1% flat Net Sales Royalty sits within Imperial College London’s 0.5–2% band and matches the midpoint for medium-margin businesses; the £10M Scaling Threshold is more beneficial to the University than Imperial as a trade off against the Royalty Cap which is a departure from Imperial. The Net Receipts step-down (10% to 1% over nine years) matches Imperial’s starting rate and the step-down mechanism been adopted by many other UK Universities. The £10M Royalty Cap is triggered when cumulative royalty payments reach £10M (not when Net Sales reach £1 billion—that £1B figure is merely the implied Net Sales level at a 1% rate, not the cap trigger itself). By that payment threshold the TTO’s economic mission has been fully served; removing an open-ended royalty obligation addresses a structural barrier that US venture firms consistently flag in later financing rounds.”</w:t>
      </w:r>
    </w:p>
    <w:p w14:paraId="0A7D3F42" w14:textId="77777777" w:rsidR="00F0402B" w:rsidRPr="009928D8" w:rsidRDefault="00F0402B" w:rsidP="007613C2">
      <w:pPr>
        <w:numPr>
          <w:ilvl w:val="0"/>
          <w:numId w:val="3"/>
        </w:numPr>
      </w:pPr>
      <w:r>
        <w:rPr>
          <w:b/>
          <w:bCs/>
        </w:rPr>
        <w:t>Deal Dial Negotiation:</w:t>
      </w:r>
      <w:r>
        <w:t xml:space="preserve"> “You could offer an early upfront cash Royalty Buyout payment to buyout or at least reduce royalties. Given that 90%+ of startups fail, and even for those that don’t fail, then royalties won’t arrive in for years, then even a small amount of early guaranteed cash in hand is attractive to Universities after factoring in NPV of the cash and the risk of failure.”</w:t>
      </w:r>
    </w:p>
    <w:p w14:paraId="01F06E65" w14:textId="77777777" w:rsidR="00F0402B" w:rsidRPr="009928D8" w:rsidRDefault="00F0402B" w:rsidP="007613C2">
      <w:pPr>
        <w:numPr>
          <w:ilvl w:val="0"/>
          <w:numId w:val="3"/>
        </w:numPr>
      </w:pPr>
      <w:r>
        <w:rPr>
          <w:b/>
          <w:bCs/>
        </w:rPr>
        <w:t xml:space="preserve">Market range context: </w:t>
      </w:r>
      <w:r>
        <w:t>the SDL's 1% flat Net Sales Royalty and its 10%-to-1% Net Receipts step-down both sit comfortably inside the broader UK market ranges observed (roughly 1-5% for Net Sales royalties; 10-25% flat, with some step-down to 5%, for Net Receipts), and an uncapped royalty of the kind the SDL removes is rare in the wider market. This is useful to note against any suggestion that the SDL rates are unreasonably low.</w:t>
      </w:r>
    </w:p>
    <w:p w14:paraId="7FC7BAA1" w14:textId="77777777" w:rsidR="009928D8" w:rsidRPr="009928D8" w:rsidRDefault="009928D8" w:rsidP="009928D8">
      <w:pPr>
        <w:rPr>
          <w:b/>
          <w:bCs/>
        </w:rPr>
      </w:pPr>
      <w:r>
        <w:rPr>
          <w:b/>
          <w:bCs/>
        </w:rPr>
        <w:t>4. IP Assignment</w:t>
      </w:r>
    </w:p>
    <w:p w14:paraId="2C4FBD8F" w14:textId="77777777" w:rsidR="009928D8" w:rsidRPr="009928D8" w:rsidRDefault="00597309" w:rsidP="009928D8">
      <w:pPr>
        <w:numPr>
          <w:ilvl w:val="0"/>
          <w:numId w:val="4"/>
        </w:numPr>
      </w:pPr>
      <w:r>
        <w:rPr>
          <w:b/>
          <w:bCs/>
        </w:rPr>
        <w:t>SDL Benchmark:</w:t>
      </w:r>
      <w:r>
        <w:t xml:space="preserve"> Patents are licensed exclusively at first but </w:t>
      </w:r>
      <w:r>
        <w:rPr>
          <w:b/>
          <w:bCs/>
        </w:rPr>
        <w:t>automatically assigned</w:t>
      </w:r>
      <w:r>
        <w:t xml:space="preserve"> to the company upon an </w:t>
      </w:r>
      <w:r>
        <w:rPr>
          <w:b/>
          <w:bCs/>
        </w:rPr>
        <w:t>"Assignment Trigger"</w:t>
      </w:r>
      <w:r>
        <w:t xml:space="preserve"> (profitability, mutual agreement, raising £25,000,000, the Royalty Payment Cap of £10,000,000 being reached, or a trade sale/IPO). The SCALE Framework specifies the profitability trigger precisely as the Company being profitable at the EBITDA level for a sustained twelve (12) consecutive months at a minimum annual revenue of £1,000,000—not merely any reported profit or a single point-in-time snapshot. The triggers are intentionally objective and verifiable (£25M cumulative equity raised; twelve months' sustained EBITDA profitability at £1M+ revenue; the £10M Royalty Payment Cap being reached; IPO or trade sale) so as to eliminate open-ended negotiation at exit. A critical SCALE protection that is absent from most TTO agreements is the post-assignment insolvency protection. Rather than an </w:t>
      </w:r>
      <w:r>
        <w:lastRenderedPageBreak/>
        <w:t>unenforceable re-assignment obligation, the SDL structures the assignment itself as a conditional transfer of legal and beneficial ownership, with an express Reversionary Interest retained by the University: if the Company suffers an Insolvency Event at any time after the Assignment Trigger, the Licensed Technology and any University Improvements automatically revert in their entirety to the University by operation of law (a property-law conditional limitation), without requiring any further act, notice, consent, or cooperation from the Company, its administrators, receivers, or any insolvency officer, and without constituting a charge, security interest, or claim against the Company’s estate. Arm’s-length sub-licences granted before the Insolvency Event to non-affiliated Sub-Licensees remain valid and enforceable notwithstanding the reversion. This belt-and-braces protection should be included and checked for in the University License. Additionally, if the Company abandons a Patent and the University takes it over, the Company must retain a non-exclusive licence to that Patent so it remains free to operate without FTO risk from its own former IP.</w:t>
      </w:r>
    </w:p>
    <w:p w14:paraId="0A27E64D" w14:textId="77777777" w:rsidR="009928D8" w:rsidRPr="009928D8" w:rsidRDefault="009928D8" w:rsidP="009928D8">
      <w:pPr>
        <w:numPr>
          <w:ilvl w:val="0"/>
          <w:numId w:val="4"/>
        </w:numPr>
      </w:pPr>
      <w:r>
        <w:rPr>
          <w:b/>
          <w:bCs/>
        </w:rPr>
        <w:t>Target Language for Analysis:</w:t>
      </w:r>
      <w:r>
        <w:t xml:space="preserve"> Look for "License only" terms with no path to ownership or "Grant-back" clauses on company improvements. Also check: (a) whether the assignment triggers are objective and verifiable or left open to University discretion; (b) whether the University License requires University prior approval for patent prosecution decisions or claim changes (which can impede commercially critical prosecution timelines); (c) whether the Company retains a non-exclusive operating licence on any Patent it elects to abandon; and (d) whether any grant-back clause requires the Company to assign or exclusively licence improvements back to the University (VC investors routinely flag grant-back provisions as high-risk items requiring remedy before investment).</w:t>
      </w:r>
    </w:p>
    <w:p w14:paraId="37BAD929" w14:textId="77777777" w:rsidR="009928D8" w:rsidRDefault="009928D8" w:rsidP="009928D8">
      <w:pPr>
        <w:numPr>
          <w:ilvl w:val="0"/>
          <w:numId w:val="4"/>
        </w:numPr>
      </w:pPr>
      <w:r>
        <w:rPr>
          <w:b/>
          <w:bCs/>
        </w:rPr>
        <w:t>Justification:</w:t>
      </w:r>
      <w:r>
        <w:t xml:space="preserve"> "Having the University retain control of patents long-term makes both investors and acquirers nervous. Automatic assignment once the company is profitable or well-funded ensures the University is 'out of the critical path' during complex acquisition or IPO processes". Automatic assignment with objective, verifiable triggers eliminates transaction risk at exit for acquirers and IPO underwriters who require certainty of IP ownership—a binary uncertainty in this area has caused deals to collapse at late stage. Grant-back clauses are widely viewed by investors as high-risk, and accepting a no-grant-back position costs the TTO nothing. Offer the post-assignment insolvency reversion mechanism—i.e. a Reversionary Interest that returns the Licensed Technology to the University automatically by operation of law on an Insolvency Event occurring after the Assignment Trigger, as a negotiation lever if Assignment is disputed.</w:t>
      </w:r>
    </w:p>
    <w:p w14:paraId="1629D4C9" w14:textId="77777777" w:rsidR="00984949" w:rsidRPr="009928D8" w:rsidRDefault="00984949" w:rsidP="00984949">
      <w:pPr>
        <w:rPr>
          <w:b/>
          <w:bCs/>
        </w:rPr>
      </w:pPr>
      <w:r>
        <w:rPr>
          <w:b/>
          <w:bCs/>
        </w:rPr>
        <w:t>5. Sub-Licensing</w:t>
      </w:r>
    </w:p>
    <w:p w14:paraId="5DD4E328" w14:textId="77777777" w:rsidR="00984949" w:rsidRPr="009928D8" w:rsidRDefault="00597309" w:rsidP="00984949">
      <w:pPr>
        <w:numPr>
          <w:ilvl w:val="0"/>
          <w:numId w:val="5"/>
        </w:numPr>
      </w:pPr>
      <w:r>
        <w:rPr>
          <w:b/>
          <w:bCs/>
        </w:rPr>
        <w:t>SDL Benchmark:</w:t>
      </w:r>
      <w:r>
        <w:t xml:space="preserve"> Sub-licensing is </w:t>
      </w:r>
      <w:r>
        <w:rPr>
          <w:b/>
          <w:bCs/>
        </w:rPr>
        <w:t>freely permitted</w:t>
      </w:r>
      <w:r>
        <w:t xml:space="preserve"> without prior University consent, provided terms are consistent with the main agreement. Key structural features: (a) the Company (not the sub-licensees themselves) indemnifies the University against all sub-licensee actions—flow-through indemnification requirements imposed directly on sub-licensees are non-standard and create friction that deters commercial partnerships; (b) royalty payments to the University from sub-licensing are based only on Net Receipts actually received by the Company including both License Fees and Royalties from sub-licensees, not on the Net Sales of the sub-licensee (which could otherwise produce a situation where the University takes 1% of sub-licensee Net Sales but the Company itself only receives a 1% royalty, eliminating the Company’s margin entirely); this </w:t>
      </w:r>
      <w:r>
        <w:lastRenderedPageBreak/>
        <w:t>obligation arises from the first pound of Net Receipts and is not subject to the Scaling Threshold; (c) a University Step-In Right must exist to allow the University to step in and directly licence the sub-licensees if the main licence is terminated (e.g., due to Company insolvency)—this protects sub-licensees who have made commercial commitments and protects the University’s ability to get the technology into market.</w:t>
      </w:r>
    </w:p>
    <w:p w14:paraId="4B1B61F4" w14:textId="4D175450" w:rsidR="00984949" w:rsidRDefault="00984949" w:rsidP="00984949">
      <w:pPr>
        <w:numPr>
          <w:ilvl w:val="0"/>
          <w:numId w:val="5"/>
        </w:numPr>
      </w:pPr>
      <w:r>
        <w:rPr>
          <w:b/>
          <w:bCs/>
        </w:rPr>
        <w:t>Target Language for Analysis:</w:t>
      </w:r>
      <w:r>
        <w:t xml:space="preserve"> Look for requirements for "Prior Written Consent" for every sub-license or "Sub-license Income Sharing" that is higher than the standard 1% royalty, or flow through requirements for Sub-Licensees to indemnify the University. Also check: (a) whether royalties on sub-licensing are calculated on sub-licensee Net Sales rather than on Net Receipts received by the Company (the former can make sub-licensing economically unviable); (b) whether a University Step-In Right exists on termination of the main licence; (c) whether the University License imposes separate fee structures on sub-licensees that create disincentives to early-stage partnership activity; (d) whether the University asserts any claim to share in sub-licensee licence fees, milestones, options, or equity through a defined term such as “Other Income,” “Non-Royalty Sub-Licensing Consideration,” “Sub-Licensing Income,” or any equivalent. Treat any such clause as a primary sub-licensing capture mechanism (not a residual anti-avoidance provision): identify the share percentage, the items it captures, and quantify the resulting University take on the worked example in the Sub-License Return calculation below. The presence of an Other Income (or equivalent) provision is a material deviation from the SDL Net Receipts Royalty structure and should be scored as a Medium-to-High friction item depending on the rate; and (e) Flow-through indemnification is frequently imposed on Sub-Licensees not through a standalone express clause but by incorporation: a sub-licensing clause may require each sub-licence to include terms "equivalent to," "no less protective than," or "back-to-back with" the Licensee's own obligations under the head licence, with that incorporated bundle expressly including the Licensee's indemnity to the University/Indemnitees. Read any such incorporation-by-reference wording closely (do not treat it as boilerplate to skip past) and state explicitly, quoting the specific sub-clause reference, whether it requires the Sub-Licensee itself to give an indemnity to the University or Indemnitees — this is a flow-through indemnification requirement within the meaning of the SDL benchmark above even where the word "indemnify" does not appear directly in the sub-licensing clause itself, and must be flagged as a friction item if found.</w:t>
      </w:r>
    </w:p>
    <w:p w14:paraId="7489A11C" w14:textId="77777777" w:rsidR="00984949" w:rsidRPr="009928D8" w:rsidRDefault="00984949" w:rsidP="00984949">
      <w:pPr>
        <w:numPr>
          <w:ilvl w:val="0"/>
          <w:numId w:val="5"/>
        </w:numPr>
      </w:pPr>
      <w:r>
        <w:rPr>
          <w:b/>
          <w:bCs/>
        </w:rPr>
        <w:t>Justification:</w:t>
      </w:r>
      <w:r>
        <w:t xml:space="preserve"> "Sub-licensing is a core commercialization pathway for many tech companies (e.g., arm, Qualcomm). Restrictive sub-licensing terms 'severely hobble' the company's ability to work through partners, scale globally and get the research to market". </w:t>
      </w:r>
    </w:p>
    <w:p w14:paraId="5EF69659" w14:textId="77777777" w:rsidR="009928D8" w:rsidRPr="009928D8" w:rsidRDefault="00984949" w:rsidP="009928D8">
      <w:pPr>
        <w:rPr>
          <w:b/>
          <w:bCs/>
        </w:rPr>
      </w:pPr>
      <w:r>
        <w:rPr>
          <w:b/>
          <w:bCs/>
        </w:rPr>
        <w:t>6. Governance &amp; Board Rights</w:t>
      </w:r>
    </w:p>
    <w:p w14:paraId="34F2B2D1" w14:textId="77777777" w:rsidR="009928D8" w:rsidRDefault="00597309" w:rsidP="009928D8">
      <w:pPr>
        <w:numPr>
          <w:ilvl w:val="0"/>
          <w:numId w:val="5"/>
        </w:numPr>
      </w:pPr>
      <w:r>
        <w:rPr>
          <w:b/>
          <w:bCs/>
        </w:rPr>
        <w:t>SDL Benchmark:</w:t>
      </w:r>
      <w:r>
        <w:t xml:space="preserve"> The SCALE Framework explicitly excludes: (a) any University board seat or board observer right arising from the License Agreement; (b) operational veto rights over Company decisions; and (c) reserved matters beyond standard shareholder protections and normal corporate governance. The University is a non-operating stakeholder whose economic interests are served through equity and royalties, not governance intervention. Where a University operates a separate VC arm, that vehicle may seek standard investor protections through its investment relationship independently—but this must be kept entirely separate from the License. On </w:t>
      </w:r>
      <w:r>
        <w:lastRenderedPageBreak/>
        <w:t>reputational conduct, the SDL requires any restriction to be confined to a defined, narrow list of "Prohibited Actions" specified by the University at signing (not an open-ended "disrepute" standard); a breach requires the University to give written notice setting out the alleged harm in reasonable detail; where the Company disputes that the threshold is met, either Party may refer the question to independent expert determination before any notice of material breach can issue; and, if the threshold is confirmed or undisputed, the Parties must negotiate remedial steps in good faith for 30 days before persistent non-compliance can constitute a material breach. This right automatically ceases to be exercisable by the University once the Assignment Trigger occurs, after which any conduct concerns are addressed solely through the University's rights as a shareholder.</w:t>
      </w:r>
    </w:p>
    <w:p w14:paraId="5DC2D7A3" w14:textId="77777777" w:rsidR="009928D8" w:rsidRDefault="009928D8" w:rsidP="009928D8">
      <w:pPr>
        <w:numPr>
          <w:ilvl w:val="0"/>
          <w:numId w:val="5"/>
        </w:numPr>
      </w:pPr>
      <w:r>
        <w:rPr>
          <w:b/>
          <w:bCs/>
        </w:rPr>
        <w:t>Target Language for Analysis:</w:t>
      </w:r>
      <w:r>
        <w:t xml:space="preserve"> Look for: (a) board seat or observer rights granted to the University under the License or Shareholders’ Agreement; (b) University consent requirements for operational decisions (e.g., hiring, acquisitions, new share classes, licensing decisions); (c) reserved matters that extend beyond standard minority shareholder protections; (d) University approval rights over the Company’s business plan or commercialisation strategy; and (e) any "reputational" or conduct clause that is drafted as an open-ended standard (e.g., "serious disrepute," "reasonable opinion of the University," or similar) rather than being confined to a specific, narrowly defined list of Prohibited Actions agreed at signing—an open-ended standard is a material deviation from the SDL's narrower approach; (f) whether a disputed allegation can be tested by independent expert determination before any notice of material breach may issue, and whether the University must first give written notice of the alleged harm and allow a good-faith remedial period (the SDL requires 30 days) before non-compliance can constitute breach; and (g) whether the clause automatically expires upon the Assignment Trigger (as the SDL requires), after which the University's conduct concerns revert to shareholder rights only. The absence of the expert-determination safeguard, the remedial period, or the expiry provision is each a material deviation.</w:t>
      </w:r>
    </w:p>
    <w:p w14:paraId="16D76EA5" w14:textId="77777777" w:rsidR="009928D8" w:rsidRDefault="009928D8" w:rsidP="009928D8">
      <w:pPr>
        <w:numPr>
          <w:ilvl w:val="0"/>
          <w:numId w:val="5"/>
        </w:numPr>
      </w:pPr>
      <w:r>
        <w:rPr>
          <w:b/>
          <w:bCs/>
        </w:rPr>
        <w:t>Justification:</w:t>
      </w:r>
      <w:r>
        <w:t xml:space="preserve"> University board rights create fiduciary complications where an institution holds both a licensing relationship and an operational governance position in the same Company. Investors are acutely sensitive to any governance structure that could slow decision-making or create conflicts of interest between the University’s obligations as licensor and its role as board participant. A University with a board seat derived from the License Agreement can also create legal ambiguity around liability and duty of care obligations that University legal teams will themselves wish to avoid.</w:t>
      </w:r>
    </w:p>
    <w:p w14:paraId="61BC6F08" w14:textId="77777777" w:rsidR="009928D8" w:rsidRDefault="009928D8" w:rsidP="009928D8">
      <w:pPr>
        <w:rPr>
          <w:b/>
          <w:bCs/>
        </w:rPr>
      </w:pPr>
      <w:r>
        <w:rPr>
          <w:b/>
          <w:bCs/>
        </w:rPr>
        <w:t>7. Termination Provisions</w:t>
      </w:r>
    </w:p>
    <w:p w14:paraId="14FC5D80" w14:textId="77777777" w:rsidR="009928D8" w:rsidRDefault="00597309" w:rsidP="009928D8">
      <w:pPr>
        <w:numPr>
          <w:ilvl w:val="0"/>
          <w:numId w:val="5"/>
        </w:numPr>
      </w:pPr>
      <w:r>
        <w:rPr>
          <w:b/>
          <w:bCs/>
        </w:rPr>
        <w:t>SDL Benchmark:</w:t>
      </w:r>
      <w:r>
        <w:t xml:space="preserve"> The SCALE Framework provides: (a) a cure period of 30 Business Days for material breaches (60 Business Days for complex or technical breaches), reflecting that early-stage spinouts often lack legal infrastructure to respond rapidly to formal notices; (b) a Reversion mechanism as an alternative to full Termination—on breach the University may elect to revert only the licensed rights rather than terminate entirely, preserving the corporate entity; (c) a 90-day notice and remediation window before any reversion takes effect; (d) automatic termination if any party attacks the validity of the licensed Patents (belt-and-braces University protection); and (e) the University retains full Termination rights as a fallback if Reversion does not remedy the breach.</w:t>
      </w:r>
    </w:p>
    <w:p w14:paraId="309BB7F1" w14:textId="77777777" w:rsidR="009928D8" w:rsidRDefault="009928D8" w:rsidP="009928D8">
      <w:pPr>
        <w:numPr>
          <w:ilvl w:val="0"/>
          <w:numId w:val="5"/>
        </w:numPr>
      </w:pPr>
      <w:r>
        <w:rPr>
          <w:b/>
          <w:bCs/>
        </w:rPr>
        <w:lastRenderedPageBreak/>
        <w:t>Target Language for Analysis:</w:t>
      </w:r>
      <w:r>
        <w:t xml:space="preserve"> Look for: (a) cure periods of fewer than 30 Business Days (which risk accidental termination of a commercially viable company); (b) binary termination with no reversion option (termination destroys investor value; reversion merely returns IP while preserving the corporate entity); (c) termination rights triggered by failure to meet commercial milestones or diligence obligations beyond the Company’s reasonable control (e.g., funding gaps, regulatory delays, market shifts); (d) no automatic termination on patent challenge (leaving the University exposed); and (e) termination provisions applying to sub-licenses directly rather than via the Step-In Right mechanism.</w:t>
      </w:r>
    </w:p>
    <w:p w14:paraId="60EC541E" w14:textId="77777777" w:rsidR="009928D8" w:rsidRDefault="009928D8" w:rsidP="009928D8">
      <w:pPr>
        <w:numPr>
          <w:ilvl w:val="0"/>
          <w:numId w:val="5"/>
        </w:numPr>
      </w:pPr>
      <w:r>
        <w:rPr>
          <w:b/>
          <w:bCs/>
        </w:rPr>
        <w:t>Justification:</w:t>
      </w:r>
      <w:r>
        <w:t xml:space="preserve"> Binary termination risk is one of the most consistent investor objections to UK spinout licenses. The threat that a licence could be terminated at short notice destroys the ability to assign a reliable value to the Company and can prevent investment rounds closing. Reversion is a proportionate and commercially sensible mechanism that gives the University a real remedy without destroying investor value or the Company entirely.</w:t>
      </w:r>
    </w:p>
    <w:p w14:paraId="6563EC3F" w14:textId="77777777" w:rsidR="009928D8" w:rsidRDefault="009928D8" w:rsidP="009928D8">
      <w:pPr>
        <w:rPr>
          <w:b/>
          <w:bCs/>
        </w:rPr>
      </w:pPr>
      <w:r>
        <w:rPr>
          <w:b/>
          <w:bCs/>
        </w:rPr>
        <w:t>8. Confidentiality &amp; Investor Disclosure</w:t>
      </w:r>
    </w:p>
    <w:p w14:paraId="456B1590" w14:textId="77777777" w:rsidR="009928D8" w:rsidRDefault="00597309" w:rsidP="009928D8">
      <w:pPr>
        <w:numPr>
          <w:ilvl w:val="0"/>
          <w:numId w:val="5"/>
        </w:numPr>
      </w:pPr>
      <w:r>
        <w:rPr>
          <w:b/>
          <w:bCs/>
        </w:rPr>
        <w:t>SDL Benchmark:</w:t>
      </w:r>
      <w:r>
        <w:t xml:space="preserve"> Standard confidentiality applies to the commercial terms of the License. However, the SCALE Framework explicitly permits the Company to refer to the existence of the License (though not its commercial terms) in investor materials and during due diligence. This is a narrowly drafted permission that does not compromise the TTO’s confidentiality interests while addressing a practical difficulty that arises in every funding round.</w:t>
      </w:r>
    </w:p>
    <w:p w14:paraId="382705A3" w14:textId="77777777" w:rsidR="009928D8" w:rsidRDefault="009928D8" w:rsidP="009928D8">
      <w:pPr>
        <w:numPr>
          <w:ilvl w:val="0"/>
          <w:numId w:val="5"/>
        </w:numPr>
      </w:pPr>
      <w:r>
        <w:rPr>
          <w:b/>
          <w:bCs/>
        </w:rPr>
        <w:t>Target Language for Analysis:</w:t>
      </w:r>
      <w:r>
        <w:t xml:space="preserve"> Look for: (a) blanket confidentiality provisions that prevent the Company from confirming the existence of the License to potential investors (which can make investor due diligence impossible and stall funding rounds); (b) requirements for University consent before any disclosure in investor materials; and (c) confidentiality terms that do not carve out disclosure required by applicable law or regulatory requirements.</w:t>
      </w:r>
    </w:p>
    <w:p w14:paraId="4C100D44" w14:textId="77777777" w:rsidR="009928D8" w:rsidRDefault="009928D8" w:rsidP="009928D8">
      <w:pPr>
        <w:numPr>
          <w:ilvl w:val="0"/>
          <w:numId w:val="5"/>
        </w:numPr>
      </w:pPr>
      <w:r>
        <w:rPr>
          <w:b/>
          <w:bCs/>
        </w:rPr>
        <w:t>Justification:</w:t>
      </w:r>
      <w:r>
        <w:t xml:space="preserve"> Investors conducting due diligence on a spinout must understand its core IP licensing position. A provision that prevents the Company from confirming the existence of its primary IP licence forces founders into a position of either breaching confidentiality or being unable to answer basic investor questions. This ambiguity—flagged in the SCALE Framework as a practical difficulty arising from standard Imperial template language—is easily resolved by a narrow carve-out and has no material downside for the TTO.</w:t>
      </w:r>
    </w:p>
    <w:p w14:paraId="1ED9B562" w14:textId="77777777" w:rsidR="009928D8" w:rsidRDefault="009928D8" w:rsidP="009928D8">
      <w:pPr>
        <w:rPr>
          <w:b/>
          <w:bCs/>
        </w:rPr>
      </w:pPr>
      <w:r>
        <w:rPr>
          <w:b/>
          <w:bCs/>
        </w:rPr>
        <w:t>9. Public Funding Disclosure &amp; March-In Rights</w:t>
      </w:r>
    </w:p>
    <w:p w14:paraId="2110359D" w14:textId="77777777" w:rsidR="009928D8" w:rsidRDefault="00597309" w:rsidP="009928D8">
      <w:pPr>
        <w:numPr>
          <w:ilvl w:val="0"/>
          <w:numId w:val="5"/>
        </w:numPr>
      </w:pPr>
      <w:r>
        <w:rPr>
          <w:b/>
          <w:bCs/>
        </w:rPr>
        <w:t>SDL Benchmark:</w:t>
      </w:r>
      <w:r>
        <w:t xml:space="preserve"> The SCALE Framework requires the University to provide an explicit warranty that it has disclosed all known public funding obligations affecting the Licensed IP, including any UKRI, EPSRC, Horizon Europe, or other grant-related terms that impose march-in rights, open access requirements, or other restrictions on commercialisation. Where such obligations exist, the University must disclose them prior to signing and indemnify the Company against undisclosed obligations that subsequently materialise.</w:t>
      </w:r>
    </w:p>
    <w:p w14:paraId="05E586AE" w14:textId="77777777" w:rsidR="009928D8" w:rsidRDefault="009928D8" w:rsidP="009928D8">
      <w:pPr>
        <w:numPr>
          <w:ilvl w:val="0"/>
          <w:numId w:val="5"/>
        </w:numPr>
      </w:pPr>
      <w:r>
        <w:rPr>
          <w:b/>
          <w:bCs/>
        </w:rPr>
        <w:lastRenderedPageBreak/>
        <w:t>Target Language for Analysis:</w:t>
      </w:r>
      <w:r>
        <w:t xml:space="preserve"> Look for: (a) any disclosure schedule or warranty in which the University sets out known public funding obligations affecting the Licensed IP; (b) whether the University License is silent on UKRI, EPSRC or Horizon Europe grant terms (silence here is a red flag requiring specific due diligence); (c) whether the University indemnifies the Company for undisclosed march-in rights or open access obligations that arise post-signing; and (d) whether the Company has conducted its own enquiries with the funding bodies directly if the University warranty is absent or insufficiently specific.</w:t>
      </w:r>
    </w:p>
    <w:p w14:paraId="516C6EFE" w14:textId="77777777" w:rsidR="009928D8" w:rsidRDefault="009928D8" w:rsidP="009928D8">
      <w:pPr>
        <w:numPr>
          <w:ilvl w:val="0"/>
          <w:numId w:val="5"/>
        </w:numPr>
      </w:pPr>
      <w:r>
        <w:rPr>
          <w:b/>
          <w:bCs/>
        </w:rPr>
        <w:t>Justification:</w:t>
      </w:r>
      <w:r>
        <w:t xml:space="preserve"> This is a well-documented real-world risk: spinouts have discovered post-licensing that UKRI or Horizon Europe grant terms impose march-in rights or open access requirements not disclosed at the time of licensing, creating significant legal risk for investors and potentially invalidating key IP positions. The explicit warranty, disclosure obligation, and indemnity incentivise thorough TTO pre-licensing IP audits. TTOs with robust record-keeping will have no difficulty meeting this obligation; those that cannot meet it signal a due diligence gap that the Company and its investors must address before signing.</w:t>
      </w:r>
    </w:p>
    <w:p w14:paraId="47EADF70" w14:textId="77777777" w:rsidR="009928D8" w:rsidRDefault="009928D8" w:rsidP="009928D8">
      <w:pPr>
        <w:rPr>
          <w:b/>
          <w:bCs/>
        </w:rPr>
      </w:pPr>
      <w:r>
        <w:rPr>
          <w:b/>
          <w:bCs/>
        </w:rPr>
        <w:t>10. Commercialisation Obligations &amp; Performance Milestones</w:t>
      </w:r>
    </w:p>
    <w:p w14:paraId="188AAB60" w14:textId="77777777" w:rsidR="009928D8" w:rsidRDefault="00597309" w:rsidP="009928D8">
      <w:pPr>
        <w:numPr>
          <w:ilvl w:val="0"/>
          <w:numId w:val="5"/>
        </w:numPr>
      </w:pPr>
      <w:r>
        <w:rPr>
          <w:b/>
          <w:bCs/>
        </w:rPr>
        <w:t>SDL Benchmark:</w:t>
      </w:r>
      <w:r>
        <w:t xml:space="preserve"> The SCALE Framework includes commercialisation obligations using an “reasonable endeavours” standard and expressly protects the Company against termination for commercial underperformance in circumstances outside its reasonable control, including funding gaps, regulatory delays, and market shifts. The Framework requires a structured good-faith dispute resolution pathway (with expert determination under the Dispute Resolution clause as a backstop) before any termination right for commercial underperformance can be exercised, and does not include specific dated milestones whose failure automatically triggers termination.</w:t>
      </w:r>
    </w:p>
    <w:p w14:paraId="1ADD33A1" w14:textId="77777777" w:rsidR="009928D8" w:rsidRDefault="009928D8" w:rsidP="009928D8">
      <w:pPr>
        <w:numPr>
          <w:ilvl w:val="0"/>
          <w:numId w:val="5"/>
        </w:numPr>
      </w:pPr>
      <w:r>
        <w:rPr>
          <w:b/>
          <w:bCs/>
        </w:rPr>
        <w:t>Target Language for Analysis:</w:t>
      </w:r>
      <w:r>
        <w:t xml:space="preserve"> Look for: (a) specific dated commercialisation milestones (e.g., “must raise Series A by [date]” or “must achieve first sale by [date]”) that automatically trigger termination or reversion rights if missed, regardless of cause; (b) commercialisation obligations that include no force majeure or reasonableness carve-out; (c) minimum sales or revenue requirements in early years before the Company has had a meaningful opportunity to develop the market; (d) no dispute resolution mechanism before termination rights can be exercised for commercial underperformance; and (e) University approval requirements for changes to the business plan or commercialisation strategy.</w:t>
      </w:r>
    </w:p>
    <w:p w14:paraId="33127258" w14:textId="77777777" w:rsidR="009928D8" w:rsidRDefault="009928D8" w:rsidP="009928D8">
      <w:pPr>
        <w:numPr>
          <w:ilvl w:val="0"/>
          <w:numId w:val="5"/>
        </w:numPr>
      </w:pPr>
      <w:r>
        <w:rPr>
          <w:b/>
          <w:bCs/>
        </w:rPr>
        <w:t>Justification:</w:t>
      </w:r>
      <w:r>
        <w:t xml:space="preserve"> Aggressive performance milestones introduce a structural overhang that investors and acquirers cannot price. A missed milestone that triggers automatic termination of the IP licence effectively destroys the Company’s core asset, often through no fault of the founders. The Hickson Review notes that university spin-outs are on average nine years old at exit (Chapter 4, "Timing can be critical") — commercial milestones must accommodate that timescale. The Review's national task force recommendation (Chapter 5, Recommendation 2) is aimed at speeding up spin-out formation and deal completion. A best-efforts obligation with a sensible dispute resolution pathway protects the University’s legitimate interest in seeing its IP commercialised without creating a sword that hangs over the Company throughout its most vulnerable stage.</w:t>
      </w:r>
    </w:p>
    <w:p w14:paraId="65B95F0D" w14:textId="77777777" w:rsidR="009928D8" w:rsidRDefault="009928D8" w:rsidP="009928D8">
      <w:pPr>
        <w:rPr>
          <w:b/>
          <w:bCs/>
        </w:rPr>
      </w:pPr>
      <w:r>
        <w:rPr>
          <w:b/>
          <w:bCs/>
        </w:rPr>
        <w:lastRenderedPageBreak/>
        <w:t>11. Grant of License Scope – Field of Use, Reserved Rights &amp; Pipeline Improvements</w:t>
      </w:r>
    </w:p>
    <w:p w14:paraId="138061B3" w14:textId="77777777" w:rsidR="009928D8" w:rsidRDefault="00597309" w:rsidP="009928D8">
      <w:pPr>
        <w:numPr>
          <w:ilvl w:val="0"/>
          <w:numId w:val="5"/>
        </w:numPr>
      </w:pPr>
      <w:r>
        <w:rPr>
          <w:b/>
          <w:bCs/>
        </w:rPr>
        <w:t>SDL Benchmark:</w:t>
      </w:r>
      <w:r>
        <w:t xml:space="preserve"> The SCALE Framework grants the Company a worldwide exclusive licence in </w:t>
      </w:r>
      <w:r>
        <w:rPr>
          <w:b/>
          <w:bCs/>
        </w:rPr>
        <w:t>all fields of use</w:t>
      </w:r>
      <w:r>
        <w:t xml:space="preserve"> with no field-of-use restriction. The University retains </w:t>
      </w:r>
      <w:r>
        <w:rPr>
          <w:b/>
          <w:bCs/>
        </w:rPr>
        <w:t>Reserved Rights</w:t>
      </w:r>
      <w:r>
        <w:t xml:space="preserve"> to use the Licensed Technology only for non-commercial academic research, teaching and academic publication. For University-generated improvements during a </w:t>
      </w:r>
      <w:r>
        <w:rPr>
          <w:b/>
          <w:bCs/>
        </w:rPr>
        <w:t>two-year pipeline period</w:t>
      </w:r>
      <w:r>
        <w:t xml:space="preserve"> following the Effective Date, the Company has automatic, royalty-free access to such improvements; thereafter the Company holds a </w:t>
      </w:r>
      <w:r>
        <w:rPr>
          <w:b/>
          <w:bCs/>
        </w:rPr>
        <w:t>first option</w:t>
      </w:r>
      <w:r>
        <w:t xml:space="preserve"> to negotiate a licence over University improvements with a 60-day decision window. Industry-sponsored research at the University is permitted, with a </w:t>
      </w:r>
      <w:r>
        <w:rPr>
          <w:b/>
          <w:bCs/>
        </w:rPr>
        <w:t>30-day notice-and-condition</w:t>
      </w:r>
      <w:r>
        <w:t xml:space="preserve"> mechanism that protects the Company’s IP without creating a bottleneck where the spinout has no functioning board. Improvements developed independently by the Company belong to the Company, and the University does not claim rights over future inventions or improvements unrelated to the Licensed Technology.</w:t>
      </w:r>
    </w:p>
    <w:p w14:paraId="3F30B9B0" w14:textId="77777777" w:rsidR="009928D8" w:rsidRDefault="009928D8" w:rsidP="009928D8">
      <w:pPr>
        <w:numPr>
          <w:ilvl w:val="0"/>
          <w:numId w:val="5"/>
        </w:numPr>
      </w:pPr>
      <w:r>
        <w:rPr>
          <w:b/>
          <w:bCs/>
        </w:rPr>
        <w:t>Target Language for Analysis:</w:t>
      </w:r>
      <w:r>
        <w:t xml:space="preserve"> Look for: (a) any field-of-use restriction limiting exclusivity to a defined sector or application; (b) Reserved Rights drafted broadly enough to permit University commercial activity competitive with the Company; (c) absence of any pipeline mechanism for University improvements (which leaves near-term University R&amp;D outside the Company’s commercial pathway); (d) pipeline windows shorter than two years, or first-option periods shorter than 60 days; (e) industry-sponsored research provisions that require active spinout board engagement (impractical for early-stage companies); and (f) any grant-back, automatic licence or assignment to the University over Company-generated improvements.</w:t>
      </w:r>
    </w:p>
    <w:p w14:paraId="4B506E7A" w14:textId="77777777" w:rsidR="009928D8" w:rsidRDefault="009928D8" w:rsidP="009928D8">
      <w:pPr>
        <w:numPr>
          <w:ilvl w:val="0"/>
          <w:numId w:val="5"/>
        </w:numPr>
      </w:pPr>
      <w:r>
        <w:rPr>
          <w:b/>
          <w:bCs/>
        </w:rPr>
        <w:t>Justification:</w:t>
      </w:r>
      <w:r>
        <w:t xml:space="preserve"> Field-of-use restrictions reduce optionality for the Company and are routinely flagged by VC investors as restricting addressable market. A two-year pipeline window gives the Company certainty over near-term University R&amp;D during the critical proof-of-concept phase, and the structured 60-day first-option mechanism thereafter ensures relevant University improvements are brought into the commercial pipeline through a defined process. The 30-day notice-and-condition mechanism for industry-sponsored research achieves the same protection as longer consent regimes without creating bottlenecks. Confirming that Company-generated improvements remain with the Company avoids a grant-back structure, which investors commonly flag as high-risk. The Hickson Review recommends, at Chapter 5 Recommendation 2(b), that a national task force build standardised term sheets and IP transfer templates to accelerate spin-out formation generally.</w:t>
      </w:r>
    </w:p>
    <w:p w14:paraId="67AB1A7B" w14:textId="77777777" w:rsidR="009928D8" w:rsidRDefault="009928D8" w:rsidP="009928D8">
      <w:pPr>
        <w:rPr>
          <w:b/>
          <w:bCs/>
        </w:rPr>
      </w:pPr>
      <w:r>
        <w:rPr>
          <w:b/>
          <w:bCs/>
        </w:rPr>
        <w:t>12. Know-how &amp; Definitional Approach</w:t>
      </w:r>
    </w:p>
    <w:p w14:paraId="2A23CA8F" w14:textId="77777777" w:rsidR="009928D8" w:rsidRDefault="00597309" w:rsidP="009928D8">
      <w:pPr>
        <w:numPr>
          <w:ilvl w:val="0"/>
          <w:numId w:val="5"/>
        </w:numPr>
      </w:pPr>
      <w:r>
        <w:rPr>
          <w:b/>
          <w:bCs/>
        </w:rPr>
        <w:t>SDL Benchmark:</w:t>
      </w:r>
      <w:r>
        <w:t xml:space="preserve"> The SCALE Framework defines </w:t>
      </w:r>
      <w:r>
        <w:rPr>
          <w:b/>
          <w:bCs/>
        </w:rPr>
        <w:t>Know-how</w:t>
      </w:r>
      <w:r>
        <w:t xml:space="preserve"> by its relationship to the Patents (i.e. technical information, trade secrets, manuals, test results and accumulated expertise of the University arising from or relating to the Licensed Patents) rather than by reference to an exhaustive enumerated list. This avoids the administrative burden of cataloguing every relevant trade secret and avoids negative-implication drafting that could leave useful know-how out.</w:t>
      </w:r>
    </w:p>
    <w:p w14:paraId="3A1E9CAD" w14:textId="77777777" w:rsidR="009928D8" w:rsidRDefault="009928D8" w:rsidP="009928D8">
      <w:pPr>
        <w:numPr>
          <w:ilvl w:val="0"/>
          <w:numId w:val="5"/>
        </w:numPr>
      </w:pPr>
      <w:r>
        <w:rPr>
          <w:b/>
          <w:bCs/>
        </w:rPr>
        <w:t>Target Language for Analysis:</w:t>
      </w:r>
      <w:r>
        <w:t xml:space="preserve"> Look for: (a) Know-how definitions limited to an enumerated list of items (which risks excluding useful tacit knowledge); (b) Know-how </w:t>
      </w:r>
      <w:r>
        <w:lastRenderedPageBreak/>
        <w:t>definitions that exclude trade secrets, manuals, test data or unrecorded expertise; (c) requirements for the University to formally schedule or specifically identify each item of Know-how before it is licensed (which delays signature and creates ongoing administrative friction); and (d) carve-outs that allow the University to retain commercially relevant Know-how outside the licence.</w:t>
      </w:r>
    </w:p>
    <w:p w14:paraId="436D72B0" w14:textId="77777777" w:rsidR="009928D8" w:rsidRDefault="009928D8" w:rsidP="009928D8">
      <w:pPr>
        <w:numPr>
          <w:ilvl w:val="0"/>
          <w:numId w:val="5"/>
        </w:numPr>
      </w:pPr>
      <w:r>
        <w:rPr>
          <w:b/>
          <w:bCs/>
        </w:rPr>
        <w:t>Justification:</w:t>
      </w:r>
      <w:r>
        <w:t xml:space="preserve"> Defining Know-how by its relationship to the Patents focuses the parties on the utility of the information rather than its inventory tag, which is consistent with how technology actually transfers from a research environment to a commercial entity. A narrowly enumerated list almost always omits something material and forces re-negotiation later. The relational definition is the SCALE position and the most operationally sensible approach for both parties.</w:t>
      </w:r>
    </w:p>
    <w:p w14:paraId="58D59B9C" w14:textId="77777777" w:rsidR="009928D8" w:rsidRDefault="009928D8" w:rsidP="009928D8">
      <w:pPr>
        <w:rPr>
          <w:b/>
          <w:bCs/>
        </w:rPr>
      </w:pPr>
      <w:r>
        <w:rPr>
          <w:b/>
          <w:bCs/>
        </w:rPr>
        <w:t>13. Warranties, Liability Caps &amp; Insurance</w:t>
      </w:r>
    </w:p>
    <w:p w14:paraId="15BF8910" w14:textId="77777777" w:rsidR="009928D8" w:rsidRDefault="00597309" w:rsidP="009928D8">
      <w:pPr>
        <w:numPr>
          <w:ilvl w:val="0"/>
          <w:numId w:val="5"/>
        </w:numPr>
      </w:pPr>
      <w:r>
        <w:rPr>
          <w:b/>
          <w:bCs/>
        </w:rPr>
        <w:t>SDL Benchmark:</w:t>
      </w:r>
      <w:r>
        <w:t xml:space="preserve"> The SCALE Framework provides: (a) the Company gives standard commercial warranties and indemnifies the University in respect of the activities of the Company and its sub-licensees; (b) the </w:t>
      </w:r>
      <w:r>
        <w:rPr>
          <w:b/>
          <w:bCs/>
        </w:rPr>
        <w:t>Company liability cap</w:t>
      </w:r>
      <w:r>
        <w:t xml:space="preserve"> is capped at the greater of (i) £2,000,000, or (ii) the Company’s total gross revenues in the twelve-month period ending when the University first becomes aware of the relevant loss or claim, subject to an overall ceiling of £10,000,000; (c) the </w:t>
      </w:r>
      <w:r>
        <w:rPr>
          <w:b/>
          <w:bCs/>
        </w:rPr>
        <w:t>University liability cap</w:t>
      </w:r>
      <w:r>
        <w:t xml:space="preserve"> is set at the total Annual Licence Fee </w:t>
      </w:r>
      <w:r>
        <w:rPr>
          <w:b/>
          <w:bCs/>
        </w:rPr>
        <w:t>and Royalty payments combined</w:t>
      </w:r>
      <w:r>
        <w:t xml:space="preserve"> actually received by the University in the twelve months preceding the relevant act or omission—not Annual Licence Fee alone, so the cap can be materially higher than the £10,000 Annual Licence Fee instalment once royalties are flowing; (d) the IP is licensed </w:t>
      </w:r>
      <w:r>
        <w:rPr>
          <w:b/>
          <w:bCs/>
        </w:rPr>
        <w:t>“as is”</w:t>
      </w:r>
      <w:r>
        <w:t xml:space="preserve"> with no warranty as to validity, commercial utility or third-party freedom-to-operate; and (e) the Company maintains appropriate product liability and general commercial </w:t>
      </w:r>
      <w:r>
        <w:rPr>
          <w:b/>
          <w:bCs/>
        </w:rPr>
        <w:t>insurance</w:t>
      </w:r>
      <w:r>
        <w:t xml:space="preserve"> at levels reasonable for its stage and sector.</w:t>
      </w:r>
    </w:p>
    <w:p w14:paraId="6FF9F909" w14:textId="77777777" w:rsidR="009928D8" w:rsidRDefault="009928D8" w:rsidP="009928D8">
      <w:pPr>
        <w:numPr>
          <w:ilvl w:val="0"/>
          <w:numId w:val="5"/>
        </w:numPr>
      </w:pPr>
      <w:r>
        <w:rPr>
          <w:b/>
          <w:bCs/>
        </w:rPr>
        <w:t>Target Language for Analysis:</w:t>
      </w:r>
      <w:r>
        <w:t xml:space="preserve"> Look for: (a) any uncapped Company liability, or a liability cap materially higher than the SDL's greater-of-£2,000,000-or-trailing-12-month-revenue formula (with an overall £10,000,000 ceiling); (b) University liability caps that are zero, nominal, or expressed only as “to the maximum extent permitted by law” without a quantified ceiling (which can be challenged by investors as failing to allocate risk), or that are pegged only to Annual Licence Fee payments and thereby fall below what the SDL benchmark would produce once Royalty payments are included; (c) warranties from the University as to validity, freedom-to-operate, or fitness for commercial use (these are not normal in University licensing and, if given, must be qualified by the University’s actual knowledge); (d) insurance requirements imposed at unrealistic levels for a pre-revenue spinout (for example, £10M+ product liability cover required from year one); and (e) insurance obligations that do not scale with the Company’s stage.</w:t>
      </w:r>
    </w:p>
    <w:p w14:paraId="63D3C062" w14:textId="77777777" w:rsidR="009928D8" w:rsidRDefault="009928D8" w:rsidP="009928D8">
      <w:pPr>
        <w:numPr>
          <w:ilvl w:val="0"/>
          <w:numId w:val="5"/>
        </w:numPr>
      </w:pPr>
      <w:r>
        <w:rPr>
          <w:b/>
          <w:bCs/>
        </w:rPr>
        <w:t>Justification:</w:t>
      </w:r>
      <w:r>
        <w:t xml:space="preserve"> A capped, balanced liability framework is standard UK academic licensing practice for IP provided without validity or commercial-utility warranties. Capping the University at Annual Licence Fee and Royalty payments actually received is appropriate given the consideration the University takes under the licence and matches what investor counsel will expect to see; unlike a fee-only cap, this formula scales up (fairly, to both parties) once the Company is generating sales and paying royalties. Capping the Company at the greater of £2,000,000 or trailing 12-month revenue (subject to a £10,000,000 ceiling) similarly ensures the cap is proportionate to the Company's actual </w:t>
      </w:r>
      <w:r>
        <w:lastRenderedPageBreak/>
        <w:t>scale rather than a fixed figure disconnected from its stage. Imposing aggressive insurance requirements from day one diverts cash from product development, while a complete absence of insurance exposes both parties; the SCALE position requires insurance at levels reasonable for stage and sector.</w:t>
      </w:r>
    </w:p>
    <w:p w14:paraId="4D886204" w14:textId="77777777" w:rsidR="009928D8" w:rsidRDefault="009928D8" w:rsidP="009928D8">
      <w:pPr>
        <w:rPr>
          <w:b/>
          <w:bCs/>
        </w:rPr>
      </w:pPr>
      <w:r>
        <w:rPr>
          <w:b/>
          <w:bCs/>
        </w:rPr>
        <w:t>14. Regulatory Compliance – NSI Act 2021, UK GDPR &amp; Future Academic Support</w:t>
      </w:r>
    </w:p>
    <w:p w14:paraId="04251B4F" w14:textId="77777777" w:rsidR="009928D8" w:rsidRDefault="00597309" w:rsidP="009928D8">
      <w:pPr>
        <w:numPr>
          <w:ilvl w:val="0"/>
          <w:numId w:val="5"/>
        </w:numPr>
      </w:pPr>
      <w:r>
        <w:rPr>
          <w:b/>
          <w:bCs/>
        </w:rPr>
        <w:t>SDL Benchmark:</w:t>
      </w:r>
      <w:r>
        <w:t xml:space="preserve"> The SCALE Framework includes: (a) </w:t>
      </w:r>
      <w:r>
        <w:rPr>
          <w:b/>
          <w:bCs/>
        </w:rPr>
        <w:t>National Security and Investment Act 2021</w:t>
      </w:r>
      <w:r>
        <w:t xml:space="preserve"> (“NSI Act”) provisions consistent with normal TTO practice and fully compliant with the 2021 Act, addressing notifiable acquisitions of control over the Licensed Technology in the seventeen sensitive sectors; (b) an explicit </w:t>
      </w:r>
      <w:r>
        <w:rPr>
          <w:b/>
          <w:bCs/>
        </w:rPr>
        <w:t>UK GDPR and Data Protection Act 2018</w:t>
      </w:r>
      <w:r>
        <w:t xml:space="preserve"> clause governing the parties’ processing of personal data in connection with the licence (e.g. royalty audit, contact data, founder data); and (c) a clear statement that any </w:t>
      </w:r>
      <w:r>
        <w:rPr>
          <w:b/>
          <w:bCs/>
        </w:rPr>
        <w:t>future support, consultancy or technical updates</w:t>
      </w:r>
      <w:r>
        <w:t xml:space="preserve"> from University academic staff to the Company must be put in place under a separate formal contract (and is not implied by the licence).</w:t>
      </w:r>
    </w:p>
    <w:p w14:paraId="1E954FBD" w14:textId="77777777" w:rsidR="009928D8" w:rsidRDefault="009928D8" w:rsidP="009928D8">
      <w:pPr>
        <w:numPr>
          <w:ilvl w:val="0"/>
          <w:numId w:val="5"/>
        </w:numPr>
      </w:pPr>
      <w:r>
        <w:rPr>
          <w:b/>
          <w:bCs/>
        </w:rPr>
        <w:t>Target Language for Analysis:</w:t>
      </w:r>
      <w:r>
        <w:t xml:space="preserve"> Look for: (a) silence on the NSI Act 2021 (which can leave both parties exposed in the event of a notifiable change of control or assignment, and is increasingly flagged as a due diligence gap); (b) NSI provisions that impose disproportionate consent or notification obligations on the Company beyond what the Act requires; (c) absence of any UK GDPR / Data Protection Act 2018 clause; (d) data protection clauses that designate the University as data controller for Company-held data (which can create downstream conflicts); (e) any open-ended cooperation obligation in respect of regulatory investigations without a reasonable cost-allocation mechanism; and (f) any provision that purports to oblige named University academics to provide ongoing technical support to the Company without a separate consultancy agreement (which can create employment-law and academic-freedom issues).</w:t>
      </w:r>
    </w:p>
    <w:p w14:paraId="6120B550" w14:textId="77777777" w:rsidR="009928D8" w:rsidRDefault="009928D8" w:rsidP="009928D8">
      <w:pPr>
        <w:numPr>
          <w:ilvl w:val="0"/>
          <w:numId w:val="5"/>
        </w:numPr>
      </w:pPr>
      <w:r>
        <w:rPr>
          <w:b/>
          <w:bCs/>
        </w:rPr>
        <w:t>Justification:</w:t>
      </w:r>
      <w:r>
        <w:t xml:space="preserve"> NSI Act compliance is now a standard requirement for any UK technology transfer touching sensitive sectors; failure to address it explicitly creates legal uncertainty at exit and can complicate later-stage investment. A standard UK GDPR / DPA 2018 clause is uncontroversial drafting that protects both parties without commercial impact, and its absence is a drafting omission that investor counsel will routinely flag. Confirming that future academic support requires a separate contract protects the University, the academic and the Company by ensuring expectations and remuneration are documented properly rather than left as informal goodwill arrangements.</w:t>
      </w:r>
    </w:p>
    <w:p w14:paraId="3ED8ABFC" w14:textId="77777777" w:rsidR="009928D8" w:rsidRDefault="009928D8" w:rsidP="009928D8">
      <w:pPr>
        <w:rPr>
          <w:b/>
          <w:bCs/>
        </w:rPr>
      </w:pPr>
      <w:r>
        <w:rPr>
          <w:b/>
          <w:bCs/>
        </w:rPr>
        <w:t>15. IP Prosecution, Maintenance, Abandonment &amp; Enforcement</w:t>
      </w:r>
    </w:p>
    <w:p w14:paraId="194AA7EF" w14:textId="77777777" w:rsidR="009928D8" w:rsidRDefault="009928D8" w:rsidP="009928D8">
      <w:pPr>
        <w:numPr>
          <w:ilvl w:val="0"/>
          <w:numId w:val="5"/>
        </w:numPr>
      </w:pPr>
      <w:r>
        <w:rPr>
          <w:b/>
          <w:bCs/>
        </w:rPr>
        <w:t xml:space="preserve">SDL Benchmark: </w:t>
      </w:r>
      <w:r>
        <w:t xml:space="preserve">From the Commencement Date the Company bears all patent costs and has the primary right (though not the obligation) to control filing, prosecution, maintenance and extension of the University Patents, including choice of patent attorneys, filing strategy and jurisdictional coverage, subject only to good-faith consultation with the University and providing copies of material correspondence on request. If the Company intends to abandon, withdraw or cease maintaining a University Patent, it must give the University at least 60 days’ prior written notice; the University may then elect to take over prosecution/maintenance at its own cost, in which case the patent continues to be licensed to the Company on a non-exclusive basis only. On </w:t>
      </w:r>
      <w:r>
        <w:lastRenderedPageBreak/>
        <w:t>infringement, the Company has the first right (not the obligation) to enforce the University Patents at its own cost and risk, controlling strategy and settlement (provided it does not admit invalidity without consent); the University may join proceedings only where legally required to do so, at the Company’s cost and direction. If the Company elects not to enforce, or fails to act within 90 days, the University may step in and enforce at its own cost and risk. Recoveries are applied first to reimburse the enforcing party’s legal costs, with the balance retained by whichever party enforced (absent an alternative agreement).</w:t>
      </w:r>
    </w:p>
    <w:p w14:paraId="601936F1" w14:textId="77777777" w:rsidR="009928D8" w:rsidRDefault="009928D8" w:rsidP="009928D8">
      <w:pPr>
        <w:numPr>
          <w:ilvl w:val="0"/>
          <w:numId w:val="5"/>
        </w:numPr>
      </w:pPr>
      <w:r>
        <w:rPr>
          <w:b/>
          <w:bCs/>
        </w:rPr>
        <w:t xml:space="preserve">Target Language for Analysis: </w:t>
      </w:r>
      <w:r>
        <w:t>Look for: (a) any requirement for University prior approval, consent or veto over patent prosecution, filing or claim-scope decisions (which can delay commercially critical filings); (b) absence of a defined abandonment mechanism (notice period, University step-in right, and a guaranteed non-exclusive licence back to the Company on step-in); (c) enforcement rights that sit with the University by default, or that require University consent before the Company can sue infringers; (d) enforcement or joinder obligations that expose the Company to University costs or litigation risk it does not control; and (e) absence of a clear order of priority for damages/settlement recoveries between the parties.</w:t>
      </w:r>
    </w:p>
    <w:p w14:paraId="425DA174" w14:textId="77777777" w:rsidR="009928D8" w:rsidRDefault="009928D8" w:rsidP="009928D8">
      <w:pPr>
        <w:numPr>
          <w:ilvl w:val="0"/>
          <w:numId w:val="5"/>
        </w:numPr>
      </w:pPr>
      <w:r>
        <w:rPr>
          <w:b/>
          <w:bCs/>
        </w:rPr>
        <w:t xml:space="preserve">Justification: </w:t>
      </w:r>
      <w:r>
        <w:t>Company-led prosecution and enforcement, at the Company’s own cost and risk, is standard commercial practice and lets the Company align patent strategy with its product roadmap and investment timetable without University-imposed delay. A defined abandonment mechanism with a guaranteed non-exclusive licence back protects the Company’s freedom to operate even where it has commercial reasons to cease maintaining a jurisdiction. Vesting the first right of enforcement with the Company (with a time-limited University step-in only on Company inaction) avoids leaving valuable IP unprotected while ensuring the University is not forced to fund litigation it does not control.</w:t>
      </w:r>
    </w:p>
    <w:p w14:paraId="1D07BA2E" w14:textId="77777777" w:rsidR="009928D8" w:rsidRDefault="009928D8" w:rsidP="009928D8">
      <w:pPr>
        <w:rPr>
          <w:b/>
          <w:bCs/>
        </w:rPr>
      </w:pPr>
      <w:r>
        <w:rPr>
          <w:b/>
          <w:bCs/>
        </w:rPr>
        <w:t>16. Technology Transfer, Reporting &amp; Audit Rights</w:t>
      </w:r>
    </w:p>
    <w:p w14:paraId="4C7E44C9" w14:textId="77777777" w:rsidR="009928D8" w:rsidRDefault="009928D8" w:rsidP="009928D8">
      <w:pPr>
        <w:numPr>
          <w:ilvl w:val="0"/>
          <w:numId w:val="5"/>
        </w:numPr>
      </w:pPr>
      <w:r>
        <w:rPr>
          <w:b/>
          <w:bCs/>
        </w:rPr>
        <w:t xml:space="preserve">SDL Benchmark: </w:t>
      </w:r>
      <w:r>
        <w:t>The University must provide access to the Licensed Technology and University Know-How, and supply reasonable supporting documentation, within 60 days of the Commencement Date (or such longer period as agreed), correcting any material error or omission it becomes aware of; it is not obliged to provide ongoing technical support beyond this (any such support requires a separate agreement), and materials are provided “as is” with risk passing to the Company on delivery. The Company must provide the University an annual commercialisation progress report within 90 days of each anniversary of the Commencement Date, kept confidential by the University, plus routine IP status updates on request. The University may audit the Company’s payment records no more than once per calendar year, during business hours, using an independent auditor bound by confidentiality; the University bears the audit cost unless an underpayment of more than 5% is revealed, in which case the Company reimburses reasonable audit costs and pays the shortfall with interest within 10 Business Days.</w:t>
      </w:r>
    </w:p>
    <w:p w14:paraId="2321B733" w14:textId="77777777" w:rsidR="009928D8" w:rsidRDefault="009928D8" w:rsidP="009928D8">
      <w:pPr>
        <w:numPr>
          <w:ilvl w:val="0"/>
          <w:numId w:val="5"/>
        </w:numPr>
      </w:pPr>
      <w:r>
        <w:rPr>
          <w:b/>
          <w:bCs/>
        </w:rPr>
        <w:t xml:space="preserve">Target Language for Analysis: </w:t>
      </w:r>
      <w:r>
        <w:t xml:space="preserve">Look for: (a) no defined delivery period or documentation obligation for the initial technology transfer, or an open-ended obligation for the University (or named academics) to provide ongoing technical support without a separate paid agreement; (b) reporting obligations that are more frequent, more intrusive, or broader in scope than an annual commercialisation progress report (e.g. </w:t>
      </w:r>
      <w:r>
        <w:lastRenderedPageBreak/>
        <w:t>real-time access to management information or trade secrets beyond what is reasonably needed); (c) audit rights exercisable more than once a year, without an independent-auditor and confidentiality requirement, without a materiality threshold before audit costs shift to the Company, or without a defined interest/repayment mechanism for underpayments.</w:t>
      </w:r>
    </w:p>
    <w:p w14:paraId="5F7DF3BF" w14:textId="77777777" w:rsidR="009928D8" w:rsidRDefault="009928D8" w:rsidP="009928D8">
      <w:pPr>
        <w:numPr>
          <w:ilvl w:val="0"/>
          <w:numId w:val="5"/>
        </w:numPr>
      </w:pPr>
      <w:r>
        <w:rPr>
          <w:b/>
          <w:bCs/>
        </w:rPr>
        <w:t xml:space="preserve">Justification: </w:t>
      </w:r>
      <w:r>
        <w:t>A defined, time-limited technology transfer obligation gives the Company certainty over what it will receive and when, while confirming that ongoing academic support sits outside the licence protects both the University (from unremunerated obligations) and the Company (from dependency on informal goodwill arrangements). Capping audit frequency, requiring an independent and confidential auditor, and shifting audit costs to the Company only where a material underpayment is found is standard commercial practice that protects the Company from disproportionate compliance burden while preserving the University’s legitimate right to verify payments.</w:t>
      </w:r>
    </w:p>
    <w:p w14:paraId="7DFCC684" w14:textId="77777777" w:rsidR="009928D8" w:rsidRDefault="009928D8" w:rsidP="009928D8">
      <w:pPr>
        <w:rPr>
          <w:b/>
          <w:bCs/>
        </w:rPr>
      </w:pPr>
      <w:r>
        <w:rPr>
          <w:b/>
          <w:bCs/>
        </w:rPr>
        <w:t>17. Financial Controls, Anti-Avoidance, University Branding, Force Majeure &amp; Dispute Resolution</w:t>
      </w:r>
    </w:p>
    <w:p w14:paraId="6558B7E0" w14:textId="77777777" w:rsidR="009928D8" w:rsidRDefault="009928D8" w:rsidP="009928D8">
      <w:pPr>
        <w:numPr>
          <w:ilvl w:val="0"/>
          <w:numId w:val="5"/>
        </w:numPr>
      </w:pPr>
      <w:r>
        <w:rPr>
          <w:b/>
          <w:bCs/>
        </w:rPr>
        <w:t xml:space="preserve">SDL Benchmark: </w:t>
      </w:r>
      <w:r>
        <w:t>The Company may not enter into any arrangement with the main purpose or effect of reducing, avoiding or diverting payments due to the University, and revenue from bundled products must be fairly allocated to Licensed Products (reinforced by the existing arm’s-length pricing requirement for Affiliate transactions). The Company may not use the University’s name, logo or branding for commercial or promotional purposes without prior written consent, save that it may refer to the University as the origin of the Licensed Rights factually and non-promotionally (including in investor materials, consistent with the Confidentiality &amp; Investor Disclosure position). Obligations generally carry a reasonableness/force majeure carve-out for circumstances outside a party’s control, and disputes are resolved through a structured good-faith pathway with expert determination as a backstop before formal proceedings.</w:t>
      </w:r>
    </w:p>
    <w:p w14:paraId="17930B62" w14:textId="77777777" w:rsidR="009928D8" w:rsidRDefault="009928D8" w:rsidP="009928D8">
      <w:pPr>
        <w:numPr>
          <w:ilvl w:val="0"/>
          <w:numId w:val="5"/>
        </w:numPr>
      </w:pPr>
      <w:r>
        <w:rPr>
          <w:b/>
          <w:bCs/>
        </w:rPr>
        <w:t xml:space="preserve">Target Language for Analysis: </w:t>
      </w:r>
      <w:r>
        <w:t>Look for: (a) absence of any anti-avoidance or bundled-revenue allocation provision (which leaves the Company free to structure pricing or bundling to minimise royalty exposure and creates a source of later dispute); (b) branding restrictions drafted more broadly than a commercial-use consent requirement — for example, prohibiting any reference to the University at all, which would prevent the Company from accurately describing its own IP position to investors; (c) a University name/logo consent requirement with no reasonableness qualifier; (d) absence of a general force majeure clause, or a force majeure carve-out limited only to specific obligations rather than applying generally; and (e) absence of a structured, good-faith dispute resolution mechanism (e.g. expert determination) as a backstop before formal legal proceedings can be commenced.</w:t>
      </w:r>
    </w:p>
    <w:p w14:paraId="7F285D81" w14:textId="77777777" w:rsidR="009928D8" w:rsidRDefault="009928D8" w:rsidP="009928D8">
      <w:pPr>
        <w:numPr>
          <w:ilvl w:val="0"/>
          <w:numId w:val="5"/>
        </w:numPr>
      </w:pPr>
      <w:r>
        <w:rPr>
          <w:b/>
          <w:bCs/>
        </w:rPr>
        <w:t xml:space="preserve">Justification: </w:t>
      </w:r>
      <w:r>
        <w:t xml:space="preserve">An anti-avoidance and fair-allocation provision protects the University’s economic interest without imposing any additional burden on a Company that is not seeking to avoid payment, and its absence is a gap that investor counsel will flag as leaving the royalty base open to erosion. A narrow, factual carve-out to use the University’s name in describing the origin of the IP is essential for fundraising and does not compromise the University’s brand. A general force majeure carve-out and a structured dispute resolution mechanism (with expert determination as a lower-cost, </w:t>
      </w:r>
      <w:r>
        <w:lastRenderedPageBreak/>
        <w:t>faster alternative to litigation) are standard commercial protections that reduce the risk of disproportionate remedies for circumstances outside either party’s control.</w:t>
      </w:r>
    </w:p>
    <w:p w14:paraId="4A9812D3" w14:textId="77777777" w:rsidR="009928D8" w:rsidRDefault="009928D8" w:rsidP="009928D8">
      <w:pPr>
        <w:rPr>
          <w:b/>
          <w:bCs/>
        </w:rPr>
      </w:pPr>
      <w:r>
        <w:rPr>
          <w:b/>
          <w:bCs/>
        </w:rPr>
        <w:t>18. Founder Equity Allocation, University Response Times &amp; Spinout Register Reporting</w:t>
      </w:r>
    </w:p>
    <w:p w14:paraId="47171752" w14:textId="77777777" w:rsidR="009928D8" w:rsidRDefault="009928D8" w:rsidP="009928D8">
      <w:pPr>
        <w:numPr>
          <w:ilvl w:val="0"/>
          <w:numId w:val="5"/>
        </w:numPr>
      </w:pPr>
      <w:r>
        <w:rPr>
          <w:b/>
          <w:bCs/>
        </w:rPr>
        <w:t xml:space="preserve">SDL Benchmark: </w:t>
      </w:r>
      <w:r>
        <w:t>Before the Commencement Date each Founder must deliver a signed Founder Equity Allocation Document to the University recording, in plain English, their percentage holding, the methodology used to allocate equity among the Founders, and confirmation that the Founder considers the allocation fair; these documents are confidential save for anonymised summary data. The University must use reasonable endeavours to respond to consents, approvals, signatures or other administrative requests within tiered targets (10 Business Days for routine consents; 15 Business Days for routine ancillary documents; 30 Business Days for matters requiring board or senior officer approval), with a deemed-consent mechanism where the University misses an un-notified target after a chaser, save where deeming consent would be unlawful. The University may also share anonymised aggregate spinout data (e.g. commencement date, sector, financing status, revenue and headcount bands) with the UK Spinout Register (HESA/Research England), with no Founder personal data included without consent.</w:t>
      </w:r>
    </w:p>
    <w:p w14:paraId="5BE6897E" w14:textId="77777777" w:rsidR="009928D8" w:rsidRDefault="009928D8" w:rsidP="009928D8">
      <w:pPr>
        <w:numPr>
          <w:ilvl w:val="0"/>
          <w:numId w:val="5"/>
        </w:numPr>
      </w:pPr>
      <w:r>
        <w:rPr>
          <w:b/>
          <w:bCs/>
        </w:rPr>
        <w:t xml:space="preserve">Target Language for Analysis: </w:t>
      </w:r>
      <w:r>
        <w:t>Look for: (a) absence of any founder equity allocation or independent-advice documentation requirement (a common source of unresolved founder disputes that surface during investor due diligence); (b) absence of any defined University response-time targets, or of a deemed-consent or escalation mechanism, for routine consents and signatures (open-ended response times are a frequent cause of delay to fundraising rounds and share issues); (c) absence of any national Spinout Register (or equivalent transparency) reporting commitment, which is misaligned with the Hickson Review’s transparency recommendations; and (d) any requirement to disclose Founder personal data, or commercially sensitive terms, beyond anonymised aggregate reporting.</w:t>
      </w:r>
    </w:p>
    <w:p w14:paraId="36358569" w14:textId="77777777" w:rsidR="009928D8" w:rsidRDefault="009928D8" w:rsidP="009928D8">
      <w:pPr>
        <w:numPr>
          <w:ilvl w:val="0"/>
          <w:numId w:val="5"/>
        </w:numPr>
      </w:pPr>
      <w:r>
        <w:rPr>
          <w:b/>
          <w:bCs/>
        </w:rPr>
        <w:t xml:space="preserve">Justification: </w:t>
      </w:r>
      <w:r>
        <w:t>Requiring a Founder Equity Allocation Document surfaces and documents founder splits before investors scrutinise them, reducing a well-known source of late-stage negotiation friction. Defined University response-time targets, backed by a deemed-consent mechanism, give the Company commercial certainty during time-critical fundraising processes without removing the University’s ability to escalate genuinely complex matters. Aligning with national Spinout Register reporting is consistent with the 2026 Hickson Review’s recommendations on standardisation and transparency in university-investor relationships, while anonymisation protects Founder privacy.</w:t>
      </w:r>
    </w:p>
    <w:p w14:paraId="3E4BD06E" w14:textId="77777777" w:rsidR="009928D8" w:rsidRPr="009928D8" w:rsidRDefault="00984949" w:rsidP="009928D8">
      <w:pPr>
        <w:rPr>
          <w:b/>
          <w:bCs/>
        </w:rPr>
      </w:pPr>
      <w:r>
        <w:rPr>
          <w:b/>
          <w:bCs/>
        </w:rPr>
        <w:t>19. Positioning for the TTOs</w:t>
      </w:r>
    </w:p>
    <w:p w14:paraId="7D87EA24" w14:textId="77777777" w:rsidR="009B7CE7" w:rsidRPr="0074467C" w:rsidRDefault="0022404A" w:rsidP="009928D8">
      <w:pPr>
        <w:numPr>
          <w:ilvl w:val="0"/>
          <w:numId w:val="5"/>
        </w:numPr>
      </w:pPr>
      <w:r>
        <w:rPr>
          <w:b/>
          <w:bCs/>
        </w:rPr>
        <w:t>Justification for changes:</w:t>
      </w:r>
      <w:r>
        <w:t xml:space="preserve"> “being more flexible allows the TTO to process more spinouts with fewer administrative resources. And accepting these terms gives rise to an investor ready agreement with market-aligned royalty caps and equity structures, specifically designed to pass VC due diligence without requiring costly post-deal amendments. The model trades heavy upfront cash fees for backend value—ensuring the university benefits significantly when the company hits major commercial milestones or exits. And it delivers on the University mission to have university research reach the public as </w:t>
      </w:r>
      <w:r>
        <w:lastRenderedPageBreak/>
        <w:t>quickly as possible. Adopting these terms establishes the University as a top-tier entrepreneurial hub, attracting elite faculty and talent by lowering the 'barrier to entry' for commercialization.” Additional arguments for University lawyers: (1) Deal Dial alignment: every term in a licence should not be treated in isolation. The SCALE Framework uses “dial thinking”—where movement on one term (e.g., accepting a lower royalty rate) is balanced by movement on another (e.g., a higher equity stake or stronger assignment protections). If the University wishes to depart from the SCALE benchmarks on one dimension, it should be prepared to give ground on another; this framing makes negotiations faster and more predictable for all sides. (2) UK policy and regulatory alignment: the 2026 Hickson Review (“Deepening University-Investor Links”), commissioned by UKRI and Research England, confirmed that university-investor relationships are improving but that persistent barriers—including opaque IP policies, rigid licensing terms, and limited investor engagement—continue to constrain the UK spinout ecosystem. The Hickson Review explicitly recommended that UKRI require universities to disclose their equity and IP policies publicly, to adopt standardised templates that reduce friction, and to invest in proof-of-concept funding at scale to de-risk propositions before they reach investors (Hickson Review: Chapter 5 Recommendation 1(b) [disclose equity/IP policies and align with USIT]; Chapter 5 Recommendation 2(b) [standardised term sheets and IP transfer templates]; Chapter 3 Recommendation 1(a) [expand proof-of-concept funding to ~£100m annually]) [note: the Review numbers recommendations as Chapter &gt; Recommendation &gt; lettered sub-point, not in the decimal "5.1(b)" format used here]. Adopting SCALE-aligned terms is not merely a commercial choice—it is consistent with UKRI’s publicly stated objectives and positions the University favourably in any future public reporting on spinout performance and in UKRI’s evolving metrics framework. (3) Peer institution benchmarking: the SCALE benchmarks on equity (Option A: 5% non-dilutable to £5M raised, or Option B: 10% dilutable from day one), royalty rate (1% flat after £10M Net Sales), and assignment triggers (£25M raised / EBITDA profitability / exit) are consistent with Imperial College London’s published standards, and with the direction of travel at UCL, and other leading UK research universities. Deviation from these norms requires specific justification and creates a reputational risk that the University’s terms are an outlier. (4) Lambert Toolkit compatibility: the SCALE Framework's "no grant-back" position echoes the spirit of the Lambert Toolkit's Option D consortium agreement, under which each party keeps the IP it creates rather than assigning improvements to a counterparty. Note, however, that Option D is one of four multi-party consortium research collaboration agreements, not a bilateral spinout company licence, and the Lambert guidance does not itself use "grant-back" terminology or address spinout licensing — so this is best presented to University lawyers as an analogy rather than a claim of direct compatibility. University lawyers will be familiar with Lambert as an established framework for research collaborations; adopting SCALE-aligned terms in the spinout context is the natural extension of that approach to the commercialisation context. (5) SCALE Spinout Term Scoring: the SCALE Framework includes a published scoring framework against which any spinout licence can be assessed, weighted across Equity Fairness (25%), Royalty Structure (20%), Governance Simplicity (20%), Investor Compatibility (20%), and Transparency and Clarity (15%). A score below 3.5 (Tier C or D) signals terms that are likely to deter investment. The scoring exercise itself is set out in the Execution Instructions below; the score is to be used as an objective basis for the negotiation conversation.</w:t>
      </w:r>
    </w:p>
    <w:p w14:paraId="622E73A4" w14:textId="77777777" w:rsidR="009928D8" w:rsidRPr="009928D8" w:rsidRDefault="009928D8" w:rsidP="009928D8">
      <w:pPr>
        <w:rPr>
          <w:b/>
          <w:bCs/>
        </w:rPr>
      </w:pPr>
      <w:r>
        <w:rPr>
          <w:b/>
          <w:bCs/>
        </w:rPr>
        <w:lastRenderedPageBreak/>
        <w:t>Execution Instructions:</w:t>
      </w:r>
    </w:p>
    <w:p w14:paraId="2B17517E" w14:textId="77777777" w:rsidR="009928D8" w:rsidRPr="009928D8" w:rsidRDefault="009928D8" w:rsidP="009928D8">
      <w:pPr>
        <w:numPr>
          <w:ilvl w:val="0"/>
          <w:numId w:val="6"/>
        </w:numPr>
      </w:pPr>
      <w:r>
        <w:t xml:space="preserve">Review the </w:t>
      </w:r>
      <w:r>
        <w:rPr>
          <w:b/>
          <w:bCs/>
        </w:rPr>
        <w:t>University License</w:t>
      </w:r>
      <w:r>
        <w:t xml:space="preserve"> provided.</w:t>
      </w:r>
    </w:p>
    <w:p w14:paraId="389E0C5E" w14:textId="77777777" w:rsidR="009928D8" w:rsidRDefault="009928D8" w:rsidP="009928D8">
      <w:pPr>
        <w:numPr>
          <w:ilvl w:val="0"/>
          <w:numId w:val="6"/>
        </w:numPr>
      </w:pPr>
      <w:r>
        <w:t>Before producing any section output, apply the Comment &amp; Annotation Protocol set out above across the entire University License, not only to Sections 1 (Equity) and 2 (Fees). Build the clause index called for in the Performance Note so that it captures, for every clause, both the clause text and any anchored comment threads with their authors and dates. Where a comment thread reveals a live position that differs materially from the drafted clause text on any of Sections 1–18, score and report against the live position and flag the discrepancy — do not silently rely on the drafted text alone.</w:t>
      </w:r>
    </w:p>
    <w:p w14:paraId="224D3177" w14:textId="77777777" w:rsidR="009928D8" w:rsidRDefault="009928D8" w:rsidP="009928D8">
      <w:pPr>
        <w:numPr>
          <w:ilvl w:val="0"/>
          <w:numId w:val="6"/>
        </w:numPr>
      </w:pPr>
      <w:r>
        <w:t xml:space="preserve">Compare each clause to the </w:t>
      </w:r>
      <w:r>
        <w:rPr>
          <w:b/>
          <w:bCs/>
        </w:rPr>
        <w:t>SDL Benchmarks</w:t>
      </w:r>
      <w:r>
        <w:t xml:space="preserve"> above.</w:t>
      </w:r>
    </w:p>
    <w:p w14:paraId="066F685E" w14:textId="77777777" w:rsidR="004F1F78" w:rsidRPr="009928D8" w:rsidRDefault="004F1F78" w:rsidP="009928D8">
      <w:pPr>
        <w:numPr>
          <w:ilvl w:val="0"/>
          <w:numId w:val="6"/>
        </w:numPr>
      </w:pPr>
      <w:r>
        <w:t>In addition to the five core commercial terms (Sections 1–5), assess the University License against the criteria in each of Sections 6–18 above. Also flag any further off-UK-market terms not covered by Sections 1–18 that are likely to create investor friction.</w:t>
      </w:r>
    </w:p>
    <w:p w14:paraId="7B039238" w14:textId="77777777" w:rsidR="009928D8" w:rsidRDefault="009928D8" w:rsidP="009928D8">
      <w:pPr>
        <w:numPr>
          <w:ilvl w:val="0"/>
          <w:numId w:val="6"/>
        </w:numPr>
      </w:pPr>
      <w:r>
        <w:t>Identify specific "High Friction" areas. Score the University License against the SCALE Spinout Scoring Framework using the following weighted criteria: Equity Fairness (25%, score 0–5), Royalty Structure (20%, score 0–5), Governance Simplicity (20%, score 0–5), Investor Compatibility (20%, score 0–5), Transparency &amp; Clarity (15%, score 0–5). Calculate the weighted total and assign the relevant tier: Tier A / Capital Ready (4.5–5.0), Tier B / Negotiable (3.5–4.4), Tier C / Heavy Friction (2.5–3.4), or Tier D / Structurally Blocking (below 2.5). Present the scoring table and tier alongside the High Friction analysis.</w:t>
      </w:r>
      <w:r>
        <w:t xml:space="preserve"> Before finalising output, check that the friction rating stated in each section's narrative commentary is consistent with the classification given for that same area under item 8 below and with the score it receives in the Scoring Framework above: a term classified as aligned with, or more favourable than, SDL must not separately be narrated as Medium or High friction in the section commentary on the basis of speculative or unstated risk. A friction rating should reflect what the clause actually says, not an assumption about what an absent or silent term might later become; where the two would otherwise disagree, correct the narrative rating to match the score rather than the reverse.</w:t>
      </w:r>
    </w:p>
    <w:p w14:paraId="530D77C3" w14:textId="77777777" w:rsidR="007613C2" w:rsidRPr="009928D8" w:rsidRDefault="007613C2" w:rsidP="007613C2">
      <w:pPr>
        <w:numPr>
          <w:ilvl w:val="0"/>
          <w:numId w:val="6"/>
        </w:numPr>
      </w:pPr>
      <w:r>
        <w:t xml:space="preserve">Compare the Sub-License Return to the Company if it grants a sub-license to a company called ACME in the first year of the University License being signed, with terms of an annual license fee of £500,000 and royalties to the company of 1.5% on the Net Sales of ACME, and where ACME has Net Sales of £1,000,000 in the first year. First calculate the income to the Company including both the license fee and royalties, and then deduct payments to University, both royalties and a share of any license fee under both the University License terms and the SDL Terms and then produce a comparative table. For the SDL side, “Net Receipts” means licence fees PLUS royalties received by the Company from sub-licensees, aggregated into a single base and taxed at one rate from the first £1, with no Scaling Threshold and no segmentation by income type. When computing the University-License side, do not assume sub-licensing fees flow only through a clause labelled “Royalty.” Identify any catch-all aggregation provision (e.g. “Other Income,” “Non-Royalty Sub-Licensing Consideration,” “Sub-Licensing Income,” or any defined term capturing payments other than running royalties), and for each such provision set out separately: (i) the share percentage payable to the University; (ii) the </w:t>
      </w:r>
      <w:r>
        <w:lastRenderedPageBreak/>
        <w:t>base to which it applies (e.g. up-front licence fee, milestone, minimum royalty, equity received); and (iii) the resulting payment. Where the License contains both a Royalties clause and an Other Income (or equivalent) clause, apply each to the appropriate component of the £515,000 — i.e. the running royalty stream of £15,000 and the up-front licence fee of £500,000 respectively — taking care not to double-count but also not to omit the Other Income share on the £500,000. If the University License is silent on the treatment of sub-licensing licence fees, treat the silence itself as a flag, state the assumption made, and explain its commercial significance. Worked figures: Company income from ACME = £515,000 (£500,000 licence fee + £15,000 royalty). SDL side: apply the Year-1 Net Receipts Royalty of 10% to the full £515,000 combined (no split, no threshold) = £51,500 University take. University-License side: the £15,000 royalty and £500,000 licence fee may sit under separate clauses (e.g. Royalties vs. Other Income) at different rates — calculate each component separately using the rates actually stated in the License, then sum them. Before doing so, first classify the running-royalty clause itself: does it charge the University's royalty rate against (i) Net Receipts/income actually received by the Company from the sub-licensee (a "Net Receipts" style clause), or (ii) the Net Sales Value of the Licensed Product actually sold by the sub-licensee (a "Net Sales Value" style clause, as distinct from what the Company itself receives)? These produce different bases and must not be conflated. If the clause is Net-Sales-Value style, apply the University's royalty rate to the sub-licensee's actual Net Sales Value stated in the scenario (here, ACME's £1,000,000), NOT to the running-royalty income the Company itself receives from the sub-licensee (here, the Company's £15,000) — the Company's own sub-licence royalty rate (1.5%) and the University's royalty rate under the Licence are independent percentages applied to the same underlying sales figure, not one applied to the other. State explicitly which basis the clause uses and show the base figure used before calculating the payment. Separately, verify any percentage-based charge on the licence fee (e.g. an "Other Income" style provision) by re-multiplying the stated rate against the stated base as a check, and do not carry forward a figure (e.g. a running-royalty amount) as if it already reflects the University's rate unless that multiplication has actually been performed and shown. Identify whether the University License produces a higher, lower, or equivalent University take, and quantify the difference in £ and as a % of the Company’s sub-licensing income.</w:t>
      </w:r>
    </w:p>
    <w:p w14:paraId="46B852C6" w14:textId="77777777" w:rsidR="005940C3" w:rsidRDefault="005940C3" w:rsidP="005940C3">
      <w:pPr>
        <w:numPr>
          <w:ilvl w:val="0"/>
          <w:numId w:val="6"/>
        </w:numPr>
      </w:pPr>
      <w:r>
        <w:t xml:space="preserve">Compare the Cash Impact to the Company over five years if it raises £3m in year 1 and £5m in year 3, has revenues of £0m, £0.5m, £1m, £3m and £10m in years 1 to 5 respectively, and has Historic Patent Costs of £40,000. Assume for this calculation that: (i) revenues equal Net Sales; (ii) there is no sub-licensing activity in this scenario (sub-licensing is treated separately in the previous question); (iii) the year 1 raise of £3m is a Qualified Financing (i.e. exceeds the £500,000 threshold), so SDL fee triggers are met from year 1; and (iv) the cash items to compare year-by-year and in cumulative total are: (a) Annual Licence Fee instalments, (b) Historic Patent Cost reimbursements, (c) Net Sales Royalties, and (d) any Minimum Annual Royalties or Milestone Payments under the University License. On the SDL side, include ALL SDL cash items defined in the Section 2 and Section 3 benchmarks that would be triggered on these facts — both the Historic Patent Cost reimbursement AND the £50,000 Annual Licence Fee (in its five annual instalments) once the Year-1 raise meets the Qualified Financing threshold — do not report SDL cumulative fees as Historic Patent Costs alone. On the University License side, before summing the Annual Licence Fee and Royalty line items for any given year, </w:t>
      </w:r>
      <w:r>
        <w:lastRenderedPageBreak/>
        <w:t>check the clause(s) governing the Annual Licence Fee (and any Minimum Royalty) for a crediting, offset, or "creditable against Royalties" mechanism. Where such a mechanism exists, the year's cash outflow for that item is the greater of the fee and the royalty due in the same period (not their sum) unless the clause states they are payable cumulatively in addition to each other — state explicitly which treatment applies and why. Before finalising the table, recompute each "Total" row as the literal sum of that column's year-by-year cells, and independently recompute any headline cumulative-difference figure (e.g. "£X higher outflow") as Target Total minus SDL Total across all included cash items; if either check does not reconcile with the figure about to be presented, correct the table rather than presenting an unreconciled figure. Present the year-by-year and five-year cumulative cash outflow under each of the University License terms and the SDL terms in a comparative table, and state the net cash retained by the Company under each. Note: the SDL Scaling Threshold for the Company's own Net Sales Royalty is £10,000,000. Cumulative Net Sales over the five years total £14.5m (£0m + £0.5m + £1m + £3m + £10m), which crosses the £10,000,000 Scaling Threshold during year 5 (cumulative Net Sales at the start of year 5 is £4.5m). A Net Sales Royalty of 1% now applies to the £4.5m of Net Sales in year 5 that falls above the £10,000,000 Scaling Threshold (i.e. £14.5m − £10m), producing an SDL Net Sales Royalty of £45,000 in year 5. This should be included as a fifth cash item and reflected in the year 5 and cumulative SDL figures.</w:t>
      </w:r>
    </w:p>
    <w:p w14:paraId="284C5517" w14:textId="77777777" w:rsidR="009928D8" w:rsidRPr="009928D8" w:rsidRDefault="009928D8" w:rsidP="009928D8">
      <w:pPr>
        <w:numPr>
          <w:ilvl w:val="0"/>
          <w:numId w:val="6"/>
        </w:numPr>
      </w:pPr>
      <w:r>
        <w:t>Provide a table summarizing the Target Term vs. the SDL Term for all 19 areas above (Sections 1–18 plus Sub-License Return and Cash Impact) — do not re-list the area names, just use the same row order as Sections 1–18. For each area, note whether the Target Term is (a) aligned with SCALE, (b) more favourable to the Company than SCALE (treated as aligned for friction purposes, scored at the top of the relevant scoring band), (c) a minor departure, or (d) a material departure, and assign a High / Medium / Low friction rating.</w:t>
      </w:r>
    </w:p>
    <w:p w14:paraId="1369210F" w14:textId="77777777" w:rsidR="009928D8" w:rsidRDefault="009928D8" w:rsidP="009928D8">
      <w:pPr>
        <w:numPr>
          <w:ilvl w:val="0"/>
          <w:numId w:val="6"/>
        </w:numPr>
      </w:pPr>
      <w:r>
        <w:t>Generate a "Recommendation for University Lawyers" using the provided justifications to request more founder-friendly terms. The recommendation should cite: (a) the 2026 Hickson Review (“Deepening University-Investor Links”, UKRI/Research England) where relevant, referencing specific recommendations by section number; (b) Imperial College London benchmarks and the University Spin-Out Investment Terms (USIT) guides as peer comparators; and (c) the Deal Dial principle to show how any concessions requested are balanced within the overall deal structure. Before drafting the Recommendation, also weigh (e) institution-specific context: what success currently looks like for this particular TTO (priorities differ between an office demonstrating near-term returns and one focused on long-term value creation, and shift over time, e.g. following a recent liquidity event); what has been agreed in comparable recent deals at the same institution or in the same technology category, since this is the most relevant benchmark for what is actually achievable; and what the University has already spent on patent prosecution and legal fees, since sunk costs shape how much room exists to trade fee relief against other concessions. Reflect this institution-specific framing in the Recommendation where the University License or any available context indicates it. Where Hickson Review recommendations directly support the proposed position (e.g. on transparency, standardisation, and investor engagement), cite them explicitly to demonstrate alignment with current government-commissioned policy.</w:t>
      </w:r>
    </w:p>
    <w:p w14:paraId="1000001A" w14:textId="10000001" w:rsidR="009928D8" w:rsidRDefault="009928D8" w:rsidP="009928D8">
      <w:pPr>
        <w:numPr>
          <w:ilvl w:val="0"/>
          <w:numId w:val="6"/>
        </w:numPr>
      </w:pPr>
      <w:r>
        <w:lastRenderedPageBreak/>
        <w:t>Caveat: At the very end of your response, after all other output, append the following notice verbatim and unedited: "This analysis is general guidance produced by an AI model and does not constitute legal, financial, tax or other professional advice; no solicitor-client, advisor-client or other professional relationship is created with any person or organisation involved in preparing this Prompt or the SCALE Deeptech Licence (SDL) benchmarks it applies. Spinout transactions are fact-specific, this output may not reflect the most recent legal, regulatory or commercial developments, and no representation or warranty is given as to its accuracy or completeness. Independent professional advice should be obtained before relying on, or taking (or refraining from taking) any action on the basis of, anything in this analysis."</w:t>
      </w:r>
    </w:p>
    <w:sectPr w:rsidR="009928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D7381"/>
    <w:multiLevelType w:val="multilevel"/>
    <w:tmpl w:val="B88A0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A95CE1"/>
    <w:multiLevelType w:val="multilevel"/>
    <w:tmpl w:val="F7BA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72A28"/>
    <w:multiLevelType w:val="multilevel"/>
    <w:tmpl w:val="014AD6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0F566F"/>
    <w:multiLevelType w:val="multilevel"/>
    <w:tmpl w:val="5F4E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85DA1"/>
    <w:multiLevelType w:val="multilevel"/>
    <w:tmpl w:val="7FCC5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CA79DA"/>
    <w:multiLevelType w:val="multilevel"/>
    <w:tmpl w:val="E714A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9233070">
    <w:abstractNumId w:val="4"/>
  </w:num>
  <w:num w:numId="2" w16cid:durableId="1841577007">
    <w:abstractNumId w:val="5"/>
  </w:num>
  <w:num w:numId="3" w16cid:durableId="1674991827">
    <w:abstractNumId w:val="2"/>
  </w:num>
  <w:num w:numId="4" w16cid:durableId="1239973146">
    <w:abstractNumId w:val="3"/>
  </w:num>
  <w:num w:numId="5" w16cid:durableId="1972636682">
    <w:abstractNumId w:val="1"/>
  </w:num>
  <w:num w:numId="6" w16cid:durableId="637801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S1tLA0NzYzMzc2MrRQ0lEKTi0uzszPAykwsqwFABERZFgtAAAA"/>
  </w:docVars>
  <w:rsids>
    <w:rsidRoot w:val="00FC2B12"/>
    <w:rsid w:val="000128CF"/>
    <w:rsid w:val="00012EDB"/>
    <w:rsid w:val="0001388C"/>
    <w:rsid w:val="000312A2"/>
    <w:rsid w:val="00045DC5"/>
    <w:rsid w:val="00063EC1"/>
    <w:rsid w:val="00071D88"/>
    <w:rsid w:val="000B1983"/>
    <w:rsid w:val="000B3582"/>
    <w:rsid w:val="000B3830"/>
    <w:rsid w:val="000B6DA1"/>
    <w:rsid w:val="000D2B36"/>
    <w:rsid w:val="00110EA3"/>
    <w:rsid w:val="00114E25"/>
    <w:rsid w:val="00116DDF"/>
    <w:rsid w:val="0012568A"/>
    <w:rsid w:val="00141D23"/>
    <w:rsid w:val="001532F4"/>
    <w:rsid w:val="001A6DB3"/>
    <w:rsid w:val="001B7284"/>
    <w:rsid w:val="001B7B6A"/>
    <w:rsid w:val="001D15B5"/>
    <w:rsid w:val="001D5474"/>
    <w:rsid w:val="001D6914"/>
    <w:rsid w:val="001F0AB2"/>
    <w:rsid w:val="00220013"/>
    <w:rsid w:val="0022404A"/>
    <w:rsid w:val="0023231A"/>
    <w:rsid w:val="00254189"/>
    <w:rsid w:val="002662DC"/>
    <w:rsid w:val="00294370"/>
    <w:rsid w:val="00297EE2"/>
    <w:rsid w:val="002C0DC6"/>
    <w:rsid w:val="002C486D"/>
    <w:rsid w:val="002C5360"/>
    <w:rsid w:val="002D243F"/>
    <w:rsid w:val="002D76CD"/>
    <w:rsid w:val="002E244A"/>
    <w:rsid w:val="002E7D04"/>
    <w:rsid w:val="002F1245"/>
    <w:rsid w:val="00324645"/>
    <w:rsid w:val="00325726"/>
    <w:rsid w:val="00361ADD"/>
    <w:rsid w:val="00376F75"/>
    <w:rsid w:val="00386D2D"/>
    <w:rsid w:val="003A573D"/>
    <w:rsid w:val="003A58D3"/>
    <w:rsid w:val="003E2D30"/>
    <w:rsid w:val="003F4F99"/>
    <w:rsid w:val="00406C4E"/>
    <w:rsid w:val="00417C96"/>
    <w:rsid w:val="00452DBF"/>
    <w:rsid w:val="004636AC"/>
    <w:rsid w:val="00472852"/>
    <w:rsid w:val="00487838"/>
    <w:rsid w:val="004879CC"/>
    <w:rsid w:val="00492FC0"/>
    <w:rsid w:val="004A54CD"/>
    <w:rsid w:val="004B608E"/>
    <w:rsid w:val="004C6D08"/>
    <w:rsid w:val="004D38EE"/>
    <w:rsid w:val="004D7F52"/>
    <w:rsid w:val="004E6FA8"/>
    <w:rsid w:val="004F1F78"/>
    <w:rsid w:val="004F24AE"/>
    <w:rsid w:val="004F7728"/>
    <w:rsid w:val="00501603"/>
    <w:rsid w:val="005148B0"/>
    <w:rsid w:val="00520240"/>
    <w:rsid w:val="00536CDA"/>
    <w:rsid w:val="00547851"/>
    <w:rsid w:val="00554E1B"/>
    <w:rsid w:val="00582841"/>
    <w:rsid w:val="005832AA"/>
    <w:rsid w:val="005940C3"/>
    <w:rsid w:val="00596AAA"/>
    <w:rsid w:val="00597309"/>
    <w:rsid w:val="005A362A"/>
    <w:rsid w:val="005B4559"/>
    <w:rsid w:val="005C27B4"/>
    <w:rsid w:val="005D1A61"/>
    <w:rsid w:val="005F47D2"/>
    <w:rsid w:val="00622BAB"/>
    <w:rsid w:val="006341D3"/>
    <w:rsid w:val="00635AAD"/>
    <w:rsid w:val="006441FD"/>
    <w:rsid w:val="00647D54"/>
    <w:rsid w:val="0065197E"/>
    <w:rsid w:val="00676F7F"/>
    <w:rsid w:val="00680290"/>
    <w:rsid w:val="006908D9"/>
    <w:rsid w:val="00692E63"/>
    <w:rsid w:val="006B5370"/>
    <w:rsid w:val="006F5ED4"/>
    <w:rsid w:val="006F6E9A"/>
    <w:rsid w:val="0071169C"/>
    <w:rsid w:val="00711AEA"/>
    <w:rsid w:val="00711D77"/>
    <w:rsid w:val="00723AA4"/>
    <w:rsid w:val="0074467C"/>
    <w:rsid w:val="007471B3"/>
    <w:rsid w:val="007613C2"/>
    <w:rsid w:val="00765A57"/>
    <w:rsid w:val="00797D44"/>
    <w:rsid w:val="007A51D3"/>
    <w:rsid w:val="007A62FD"/>
    <w:rsid w:val="007B0712"/>
    <w:rsid w:val="007B090B"/>
    <w:rsid w:val="007B3D22"/>
    <w:rsid w:val="007D6195"/>
    <w:rsid w:val="007F139D"/>
    <w:rsid w:val="00803928"/>
    <w:rsid w:val="00804D4C"/>
    <w:rsid w:val="008169A1"/>
    <w:rsid w:val="0082157D"/>
    <w:rsid w:val="008220A7"/>
    <w:rsid w:val="0082231E"/>
    <w:rsid w:val="00822A3A"/>
    <w:rsid w:val="0082524F"/>
    <w:rsid w:val="0083654E"/>
    <w:rsid w:val="00881918"/>
    <w:rsid w:val="00891FAA"/>
    <w:rsid w:val="008E4ACE"/>
    <w:rsid w:val="008E503D"/>
    <w:rsid w:val="008F311C"/>
    <w:rsid w:val="008F5166"/>
    <w:rsid w:val="00912C47"/>
    <w:rsid w:val="00920F9A"/>
    <w:rsid w:val="00932B92"/>
    <w:rsid w:val="00971561"/>
    <w:rsid w:val="00975594"/>
    <w:rsid w:val="00984949"/>
    <w:rsid w:val="00985605"/>
    <w:rsid w:val="009913BE"/>
    <w:rsid w:val="009928D8"/>
    <w:rsid w:val="009B0C66"/>
    <w:rsid w:val="009B5765"/>
    <w:rsid w:val="009B7CE7"/>
    <w:rsid w:val="009C704E"/>
    <w:rsid w:val="009D1FC1"/>
    <w:rsid w:val="009E1605"/>
    <w:rsid w:val="009E3898"/>
    <w:rsid w:val="00A20A94"/>
    <w:rsid w:val="00A259CA"/>
    <w:rsid w:val="00A340FC"/>
    <w:rsid w:val="00A56192"/>
    <w:rsid w:val="00A82FFC"/>
    <w:rsid w:val="00A8422D"/>
    <w:rsid w:val="00A8643B"/>
    <w:rsid w:val="00A91C09"/>
    <w:rsid w:val="00AA2031"/>
    <w:rsid w:val="00AA7BFD"/>
    <w:rsid w:val="00AB690C"/>
    <w:rsid w:val="00AE0883"/>
    <w:rsid w:val="00AE0B76"/>
    <w:rsid w:val="00B07B19"/>
    <w:rsid w:val="00B17277"/>
    <w:rsid w:val="00B17C4E"/>
    <w:rsid w:val="00B3384F"/>
    <w:rsid w:val="00B36B75"/>
    <w:rsid w:val="00B46767"/>
    <w:rsid w:val="00B62637"/>
    <w:rsid w:val="00B733F3"/>
    <w:rsid w:val="00BB63AE"/>
    <w:rsid w:val="00BF4E05"/>
    <w:rsid w:val="00C3122C"/>
    <w:rsid w:val="00C3272B"/>
    <w:rsid w:val="00C3417B"/>
    <w:rsid w:val="00C36992"/>
    <w:rsid w:val="00C64B92"/>
    <w:rsid w:val="00C75327"/>
    <w:rsid w:val="00CC3DBE"/>
    <w:rsid w:val="00D02BB7"/>
    <w:rsid w:val="00D23C56"/>
    <w:rsid w:val="00D271F5"/>
    <w:rsid w:val="00D27AD5"/>
    <w:rsid w:val="00D5166C"/>
    <w:rsid w:val="00D71FD5"/>
    <w:rsid w:val="00DC4FB1"/>
    <w:rsid w:val="00DD4876"/>
    <w:rsid w:val="00DE7305"/>
    <w:rsid w:val="00E064C4"/>
    <w:rsid w:val="00E14C72"/>
    <w:rsid w:val="00E15030"/>
    <w:rsid w:val="00E50B73"/>
    <w:rsid w:val="00E5771B"/>
    <w:rsid w:val="00E728C2"/>
    <w:rsid w:val="00E7437F"/>
    <w:rsid w:val="00E87205"/>
    <w:rsid w:val="00E9075D"/>
    <w:rsid w:val="00E9270C"/>
    <w:rsid w:val="00EE7BD3"/>
    <w:rsid w:val="00F0402B"/>
    <w:rsid w:val="00F1250D"/>
    <w:rsid w:val="00F13D57"/>
    <w:rsid w:val="00F20331"/>
    <w:rsid w:val="00F35819"/>
    <w:rsid w:val="00F416CF"/>
    <w:rsid w:val="00F53A4E"/>
    <w:rsid w:val="00F728D3"/>
    <w:rsid w:val="00F827AA"/>
    <w:rsid w:val="00F94D79"/>
    <w:rsid w:val="00FC2B12"/>
    <w:rsid w:val="00FF2962"/>
    <w:rsid w:val="00FF4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908BF"/>
  <w15:chartTrackingRefBased/>
  <w15:docId w15:val="{F2F7241B-AE19-4000-902A-0F1207477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2B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2B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2B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2B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2B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2B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2B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2B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2B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B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2B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2B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2B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2B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2B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2B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2B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2B12"/>
    <w:rPr>
      <w:rFonts w:eastAsiaTheme="majorEastAsia" w:cstheme="majorBidi"/>
      <w:color w:val="272727" w:themeColor="text1" w:themeTint="D8"/>
    </w:rPr>
  </w:style>
  <w:style w:type="paragraph" w:styleId="Title">
    <w:name w:val="Title"/>
    <w:basedOn w:val="Normal"/>
    <w:next w:val="Normal"/>
    <w:link w:val="TitleChar"/>
    <w:uiPriority w:val="10"/>
    <w:qFormat/>
    <w:rsid w:val="00FC2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B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B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B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B12"/>
    <w:pPr>
      <w:spacing w:before="160"/>
      <w:jc w:val="center"/>
    </w:pPr>
    <w:rPr>
      <w:i/>
      <w:iCs/>
      <w:color w:val="404040" w:themeColor="text1" w:themeTint="BF"/>
    </w:rPr>
  </w:style>
  <w:style w:type="character" w:customStyle="1" w:styleId="QuoteChar">
    <w:name w:val="Quote Char"/>
    <w:basedOn w:val="DefaultParagraphFont"/>
    <w:link w:val="Quote"/>
    <w:uiPriority w:val="29"/>
    <w:rsid w:val="00FC2B12"/>
    <w:rPr>
      <w:i/>
      <w:iCs/>
      <w:color w:val="404040" w:themeColor="text1" w:themeTint="BF"/>
    </w:rPr>
  </w:style>
  <w:style w:type="paragraph" w:styleId="ListParagraph">
    <w:name w:val="List Paragraph"/>
    <w:basedOn w:val="Normal"/>
    <w:uiPriority w:val="34"/>
    <w:qFormat/>
    <w:rsid w:val="00FC2B12"/>
    <w:pPr>
      <w:ind w:left="720"/>
      <w:contextualSpacing/>
    </w:pPr>
  </w:style>
  <w:style w:type="character" w:styleId="IntenseEmphasis">
    <w:name w:val="Intense Emphasis"/>
    <w:basedOn w:val="DefaultParagraphFont"/>
    <w:uiPriority w:val="21"/>
    <w:qFormat/>
    <w:rsid w:val="00FC2B12"/>
    <w:rPr>
      <w:i/>
      <w:iCs/>
      <w:color w:val="0F4761" w:themeColor="accent1" w:themeShade="BF"/>
    </w:rPr>
  </w:style>
  <w:style w:type="paragraph" w:styleId="IntenseQuote">
    <w:name w:val="Intense Quote"/>
    <w:basedOn w:val="Normal"/>
    <w:next w:val="Normal"/>
    <w:link w:val="IntenseQuoteChar"/>
    <w:uiPriority w:val="30"/>
    <w:qFormat/>
    <w:rsid w:val="00FC2B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B12"/>
    <w:rPr>
      <w:i/>
      <w:iCs/>
      <w:color w:val="0F4761" w:themeColor="accent1" w:themeShade="BF"/>
    </w:rPr>
  </w:style>
  <w:style w:type="character" w:styleId="IntenseReference">
    <w:name w:val="Intense Reference"/>
    <w:basedOn w:val="DefaultParagraphFont"/>
    <w:uiPriority w:val="32"/>
    <w:qFormat/>
    <w:rsid w:val="00FC2B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12002</Words>
  <Characters>64457</Characters>
  <Application>Microsoft Office Word</Application>
  <DocSecurity>0</DocSecurity>
  <Lines>1841</Lines>
  <Paragraphs>1176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Hutton</dc:creator>
  <cp:keywords/>
  <dc:description/>
  <cp:lastModifiedBy>Pete Hutton</cp:lastModifiedBy>
  <cp:revision>3</cp:revision>
  <dcterms:created xsi:type="dcterms:W3CDTF">2026-07-28T14:45:00Z</dcterms:created>
  <dcterms:modified xsi:type="dcterms:W3CDTF">2026-07-28T14:45:00Z</dcterms:modified>
</cp:coreProperties>
</file>